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125E96" w14:textId="77777777" w:rsidR="00DD3235" w:rsidRDefault="00000000">
      <w:pPr>
        <w:spacing w:before="240" w:after="240" w:line="240" w:lineRule="auto"/>
        <w:ind w:right="10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EDITAL DE PREGÃO na forma ELETRÔNICA Nº 03/2024</w:t>
      </w:r>
    </w:p>
    <w:p w14:paraId="36CDF64C" w14:textId="77777777" w:rsidR="00DD3235" w:rsidRDefault="00000000">
      <w:pPr>
        <w:spacing w:before="240" w:after="240" w:line="240" w:lineRule="auto"/>
        <w:ind w:right="10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EDITAL Nº 03/2024</w:t>
      </w:r>
    </w:p>
    <w:p w14:paraId="66F71746" w14:textId="5A6BA537" w:rsidR="00DD3235" w:rsidRDefault="00000000">
      <w:pPr>
        <w:spacing w:before="240" w:after="240" w:line="240" w:lineRule="auto"/>
        <w:ind w:right="10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PROCESSO </w:t>
      </w:r>
      <w:r w:rsidR="00DD3235">
        <w:rPr>
          <w:rFonts w:ascii="Times New Roman" w:eastAsia="Times New Roman" w:hAnsi="Times New Roman" w:cs="Times New Roman"/>
          <w:b/>
          <w:sz w:val="26"/>
          <w:szCs w:val="26"/>
        </w:rPr>
        <w:t>ADMINISTRATIVO Nº</w:t>
      </w:r>
      <w:r>
        <w:rPr>
          <w:rFonts w:ascii="Times New Roman" w:eastAsia="Times New Roman" w:hAnsi="Times New Roman" w:cs="Times New Roman"/>
          <w:b/>
          <w:sz w:val="26"/>
          <w:szCs w:val="26"/>
        </w:rPr>
        <w:t xml:space="preserve"> 37/2023</w:t>
      </w:r>
    </w:p>
    <w:p w14:paraId="2028233D" w14:textId="2C4B7C94" w:rsidR="00A05AD3" w:rsidRDefault="00000000">
      <w:pPr>
        <w:spacing w:before="240" w:after="240" w:line="240" w:lineRule="auto"/>
        <w:ind w:right="10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DATA DA REALIZAÇÃO:</w:t>
      </w:r>
      <w:r>
        <w:rPr>
          <w:rFonts w:ascii="Times New Roman" w:eastAsia="Times New Roman" w:hAnsi="Times New Roman" w:cs="Times New Roman"/>
          <w:sz w:val="26"/>
          <w:szCs w:val="26"/>
        </w:rPr>
        <w:t xml:space="preserve"> 13/06/2024, às 09:00.</w:t>
      </w:r>
    </w:p>
    <w:p w14:paraId="3EDC9D2C"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color w:val="FF0000"/>
          <w:sz w:val="26"/>
          <w:szCs w:val="26"/>
        </w:rPr>
      </w:pPr>
      <w:r>
        <w:rPr>
          <w:rFonts w:ascii="Times New Roman" w:eastAsia="Times New Roman" w:hAnsi="Times New Roman" w:cs="Times New Roman"/>
          <w:b/>
          <w:sz w:val="26"/>
          <w:szCs w:val="26"/>
        </w:rPr>
        <w:t>INÍCIO DO RECEBIMENTO DE PROPOSTAS:</w:t>
      </w:r>
      <w:r>
        <w:rPr>
          <w:rFonts w:ascii="Times New Roman" w:eastAsia="Times New Roman" w:hAnsi="Times New Roman" w:cs="Times New Roman"/>
          <w:sz w:val="26"/>
          <w:szCs w:val="26"/>
        </w:rPr>
        <w:t xml:space="preserve"> 03/06/2024</w:t>
      </w:r>
    </w:p>
    <w:p w14:paraId="30867BCC"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color w:val="FF0000"/>
          <w:sz w:val="26"/>
          <w:szCs w:val="26"/>
        </w:rPr>
      </w:pPr>
      <w:r>
        <w:rPr>
          <w:rFonts w:ascii="Times New Roman" w:eastAsia="Times New Roman" w:hAnsi="Times New Roman" w:cs="Times New Roman"/>
          <w:b/>
          <w:sz w:val="26"/>
          <w:szCs w:val="26"/>
        </w:rPr>
        <w:t>FIM DO RECEBIMENTO DAS PROPOSTAS:</w:t>
      </w:r>
      <w:r>
        <w:rPr>
          <w:rFonts w:ascii="Times New Roman" w:eastAsia="Times New Roman" w:hAnsi="Times New Roman" w:cs="Times New Roman"/>
          <w:sz w:val="26"/>
          <w:szCs w:val="26"/>
        </w:rPr>
        <w:t xml:space="preserve"> 12/06/2024, às 23:59</w:t>
      </w:r>
    </w:p>
    <w:p w14:paraId="324820A5"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INÍCIO DA ETAPA DE LANCES:</w:t>
      </w:r>
      <w:r>
        <w:rPr>
          <w:rFonts w:ascii="Times New Roman" w:eastAsia="Times New Roman" w:hAnsi="Times New Roman" w:cs="Times New Roman"/>
          <w:sz w:val="26"/>
          <w:szCs w:val="26"/>
        </w:rPr>
        <w:t xml:space="preserve"> 13/06/2024, às 09:00.</w:t>
      </w:r>
    </w:p>
    <w:p w14:paraId="14192420"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LOCAL:</w:t>
      </w:r>
      <w:r>
        <w:rPr>
          <w:rFonts w:ascii="Times New Roman" w:eastAsia="Times New Roman" w:hAnsi="Times New Roman" w:cs="Times New Roman"/>
          <w:sz w:val="26"/>
          <w:szCs w:val="26"/>
        </w:rPr>
        <w:t xml:space="preserve"> PLATAFORMA ELETRÔNICA DE PREGÃO NO SITE</w:t>
      </w:r>
      <w:hyperlink r:id="rId8">
        <w:r>
          <w:rPr>
            <w:rFonts w:ascii="Times New Roman" w:eastAsia="Times New Roman" w:hAnsi="Times New Roman" w:cs="Times New Roman"/>
            <w:sz w:val="26"/>
            <w:szCs w:val="26"/>
          </w:rPr>
          <w:t xml:space="preserve"> </w:t>
        </w:r>
      </w:hyperlink>
      <w:hyperlink r:id="rId9">
        <w:r>
          <w:rPr>
            <w:rFonts w:ascii="Times New Roman" w:eastAsia="Times New Roman" w:hAnsi="Times New Roman" w:cs="Times New Roman"/>
            <w:color w:val="0000FF"/>
            <w:sz w:val="26"/>
            <w:szCs w:val="26"/>
            <w:u w:val="single"/>
          </w:rPr>
          <w:t>www.bll.org.br</w:t>
        </w:r>
      </w:hyperlink>
      <w:r>
        <w:rPr>
          <w:rFonts w:ascii="Times New Roman" w:eastAsia="Times New Roman" w:hAnsi="Times New Roman" w:cs="Times New Roman"/>
          <w:sz w:val="26"/>
          <w:szCs w:val="26"/>
        </w:rPr>
        <w:t xml:space="preserve"> </w:t>
      </w:r>
    </w:p>
    <w:p w14:paraId="238B8C5C"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3B9469C2"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Para todas as referências de tempo será observado o horário oficial de Brasília (DF). </w:t>
      </w:r>
    </w:p>
    <w:p w14:paraId="47AA0421"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606D38DB"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A CÂMARA MUNICIPAL DE MOCOCA</w:t>
      </w:r>
      <w:r>
        <w:rPr>
          <w:rFonts w:ascii="Times New Roman" w:eastAsia="Times New Roman" w:hAnsi="Times New Roman" w:cs="Times New Roman"/>
          <w:sz w:val="26"/>
          <w:szCs w:val="26"/>
        </w:rPr>
        <w:t xml:space="preserve">, inscrita no CNPJ nº   49.387.640/0001-95, TORNA PÚBLICO, para conhecimento de quantos possa interessar, a abertura de procedimento licitatório, na modalidade PREGÃO na forma ELETRÔNICA, para registro de preço, do tipo “Menor Preço Global” em Lotes, a ser realizado por intermédio do sistema eletrônico de contratações denominado “Bolsa de Licitações e Leilões do Brasil – BLL” ( </w:t>
      </w:r>
      <w:hyperlink r:id="rId10">
        <w:r>
          <w:rPr>
            <w:rFonts w:ascii="Times New Roman" w:eastAsia="Times New Roman" w:hAnsi="Times New Roman" w:cs="Times New Roman"/>
            <w:color w:val="1155CC"/>
            <w:sz w:val="26"/>
            <w:szCs w:val="26"/>
            <w:u w:val="single"/>
          </w:rPr>
          <w:t>www.bll.org.br</w:t>
        </w:r>
      </w:hyperlink>
      <w:r>
        <w:rPr>
          <w:rFonts w:ascii="Times New Roman" w:eastAsia="Times New Roman" w:hAnsi="Times New Roman" w:cs="Times New Roman"/>
          <w:sz w:val="26"/>
          <w:szCs w:val="26"/>
        </w:rPr>
        <w:t xml:space="preserve"> ), de acordo com o que determina a Lei Federal nº 14.133/2021, a Lei Complementar nº 123/2006 e alterações posteriores, e das regulamentações presentes nos Atos da Mesa nº 439/2023</w:t>
      </w:r>
      <w:r>
        <w:rPr>
          <w:rFonts w:ascii="Times New Roman" w:eastAsia="Times New Roman" w:hAnsi="Times New Roman" w:cs="Times New Roman"/>
          <w:sz w:val="26"/>
          <w:szCs w:val="26"/>
          <w:vertAlign w:val="superscript"/>
        </w:rPr>
        <w:footnoteReference w:id="1"/>
      </w:r>
      <w:r>
        <w:rPr>
          <w:rFonts w:ascii="Times New Roman" w:eastAsia="Times New Roman" w:hAnsi="Times New Roman" w:cs="Times New Roman"/>
          <w:sz w:val="26"/>
          <w:szCs w:val="26"/>
        </w:rPr>
        <w:t xml:space="preserve"> e 440/2023</w:t>
      </w:r>
      <w:r>
        <w:rPr>
          <w:rFonts w:ascii="Times New Roman" w:eastAsia="Times New Roman" w:hAnsi="Times New Roman" w:cs="Times New Roman"/>
          <w:sz w:val="26"/>
          <w:szCs w:val="26"/>
          <w:vertAlign w:val="superscript"/>
        </w:rPr>
        <w:footnoteReference w:id="2"/>
      </w:r>
      <w:r>
        <w:rPr>
          <w:rFonts w:ascii="Times New Roman" w:eastAsia="Times New Roman" w:hAnsi="Times New Roman" w:cs="Times New Roman"/>
          <w:sz w:val="26"/>
          <w:szCs w:val="26"/>
        </w:rPr>
        <w:t xml:space="preserve"> no que couberem, a ser regido pelos mencionados diplomas legais e pelas cláusulas e condições que seguem: </w:t>
      </w:r>
    </w:p>
    <w:p w14:paraId="592B25B7"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6752B67E"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O Edital na íntegra encontra-se a disposição dos interessados na Câmara Municipal de Mococa – Setor de Licitações, localizado na Praça Marechal Deodoro, nº 26, Centro, Mococa-SP, horário das 08h00 às 17h00, dias úteis, no site:</w:t>
      </w:r>
      <w:hyperlink r:id="rId11">
        <w:r>
          <w:rPr>
            <w:rFonts w:ascii="Times New Roman" w:eastAsia="Times New Roman" w:hAnsi="Times New Roman" w:cs="Times New Roman"/>
            <w:sz w:val="26"/>
            <w:szCs w:val="26"/>
          </w:rPr>
          <w:t xml:space="preserve"> </w:t>
        </w:r>
      </w:hyperlink>
      <w:hyperlink r:id="rId12">
        <w:r>
          <w:rPr>
            <w:rFonts w:ascii="Times New Roman" w:eastAsia="Times New Roman" w:hAnsi="Times New Roman" w:cs="Times New Roman"/>
            <w:color w:val="0000FF"/>
            <w:sz w:val="26"/>
            <w:szCs w:val="26"/>
            <w:u w:val="single"/>
          </w:rPr>
          <w:t>www.mococa.sp.leg.br</w:t>
        </w:r>
      </w:hyperlink>
      <w:r>
        <w:rPr>
          <w:rFonts w:ascii="Times New Roman" w:eastAsia="Times New Roman" w:hAnsi="Times New Roman" w:cs="Times New Roman"/>
          <w:sz w:val="26"/>
          <w:szCs w:val="26"/>
        </w:rPr>
        <w:t xml:space="preserve"> e na plataforma eletrônica:</w:t>
      </w:r>
      <w:hyperlink r:id="rId13">
        <w:r>
          <w:rPr>
            <w:rFonts w:ascii="Times New Roman" w:eastAsia="Times New Roman" w:hAnsi="Times New Roman" w:cs="Times New Roman"/>
            <w:sz w:val="26"/>
            <w:szCs w:val="26"/>
          </w:rPr>
          <w:t xml:space="preserve"> </w:t>
        </w:r>
      </w:hyperlink>
      <w:hyperlink r:id="rId14">
        <w:r>
          <w:rPr>
            <w:rFonts w:ascii="Times New Roman" w:eastAsia="Times New Roman" w:hAnsi="Times New Roman" w:cs="Times New Roman"/>
            <w:color w:val="0000FF"/>
            <w:sz w:val="26"/>
            <w:szCs w:val="26"/>
            <w:u w:val="single"/>
          </w:rPr>
          <w:t>www.bll.org.br.</w:t>
        </w:r>
      </w:hyperlink>
      <w:r>
        <w:rPr>
          <w:rFonts w:ascii="Times New Roman" w:eastAsia="Times New Roman" w:hAnsi="Times New Roman" w:cs="Times New Roman"/>
          <w:sz w:val="26"/>
          <w:szCs w:val="26"/>
        </w:rPr>
        <w:t xml:space="preserve"> Mais informações e/ou esclarecimentos no endereço acima ou pelo telefone (19) 3656-0002. </w:t>
      </w:r>
    </w:p>
    <w:p w14:paraId="6B2FF7E2"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As propostas deverão obedecer às especificações deste instrumento convocatório e anexos, que dele fazem parte integrante. </w:t>
      </w:r>
    </w:p>
    <w:p w14:paraId="2A457976"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46516E1F"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 DO OBJETO</w:t>
      </w:r>
      <w:r>
        <w:rPr>
          <w:rFonts w:ascii="Times New Roman" w:eastAsia="Times New Roman" w:hAnsi="Times New Roman" w:cs="Times New Roman"/>
          <w:sz w:val="26"/>
          <w:szCs w:val="26"/>
        </w:rPr>
        <w:t xml:space="preserve"> </w:t>
      </w:r>
    </w:p>
    <w:p w14:paraId="3CFA7553" w14:textId="77777777" w:rsidR="00A05AD3" w:rsidRDefault="00000000">
      <w:pPr>
        <w:widowControl w:val="0"/>
        <w:tabs>
          <w:tab w:val="left" w:pos="1447"/>
        </w:tabs>
        <w:spacing w:before="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Este pregão trata da aquisição dos seguintes itens: 10 (dez) computadores do tipo notebooks, 4 (quatro) scanners de mesa, 2 (duas) impressoras do tipo multifuncional </w:t>
      </w:r>
      <w:r>
        <w:rPr>
          <w:rFonts w:ascii="Times New Roman" w:eastAsia="Times New Roman" w:hAnsi="Times New Roman" w:cs="Times New Roman"/>
          <w:sz w:val="26"/>
          <w:szCs w:val="26"/>
        </w:rPr>
        <w:lastRenderedPageBreak/>
        <w:t xml:space="preserve">colorida, 4 (quatro) impressoras do tipo multifuncional monocromática, 5 (cinco) aparelhos de ar condicionado de 12.000 btus, 1 (um) aparelho </w:t>
      </w:r>
      <w:proofErr w:type="gramStart"/>
      <w:r>
        <w:rPr>
          <w:rFonts w:ascii="Times New Roman" w:eastAsia="Times New Roman" w:hAnsi="Times New Roman" w:cs="Times New Roman"/>
          <w:sz w:val="26"/>
          <w:szCs w:val="26"/>
        </w:rPr>
        <w:t>de  ar</w:t>
      </w:r>
      <w:proofErr w:type="gramEnd"/>
      <w:r>
        <w:rPr>
          <w:rFonts w:ascii="Times New Roman" w:eastAsia="Times New Roman" w:hAnsi="Times New Roman" w:cs="Times New Roman"/>
          <w:sz w:val="26"/>
          <w:szCs w:val="26"/>
        </w:rPr>
        <w:t xml:space="preserve"> condicionado de 18.000 btus, conforme especificações mínimas discriminadas no Anexo I - Termo de Referência.</w:t>
      </w:r>
    </w:p>
    <w:p w14:paraId="6F73D7BA" w14:textId="77777777" w:rsidR="00A05AD3" w:rsidRDefault="00A05AD3">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p>
    <w:p w14:paraId="4A27EDF6"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 licitação será realizada em três lotes, formado por itens, conforme tabela constante no Termo de Referência, devendo o licitante oferecer proposta para os Lotes em que estiver interessado, cujo critério de julgamento será o de “menor preço por item”. </w:t>
      </w:r>
    </w:p>
    <w:p w14:paraId="78E0C5B7" w14:textId="45462DBD"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Justificativa: O critério de julgamento adotado é o que melhor reflete os anseios da licitação, tendo em vista </w:t>
      </w:r>
      <w:r w:rsidR="00DD3235">
        <w:rPr>
          <w:rFonts w:ascii="Times New Roman" w:eastAsia="Times New Roman" w:hAnsi="Times New Roman" w:cs="Times New Roman"/>
          <w:sz w:val="26"/>
          <w:szCs w:val="26"/>
        </w:rPr>
        <w:t>que possibilita</w:t>
      </w:r>
      <w:r>
        <w:rPr>
          <w:rFonts w:ascii="Times New Roman" w:eastAsia="Times New Roman" w:hAnsi="Times New Roman" w:cs="Times New Roman"/>
          <w:sz w:val="26"/>
          <w:szCs w:val="26"/>
        </w:rPr>
        <w:t xml:space="preserve"> a ampla competitividade e seleciona a proposta mais vantajosa para Administração (proposta econômica e logisticamente viável), a considerar a similitudes dos equipamentos agrupados por lotes. </w:t>
      </w:r>
    </w:p>
    <w:p w14:paraId="4A183EF2" w14:textId="77777777" w:rsidR="00A05AD3" w:rsidRDefault="00A05AD3">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p>
    <w:p w14:paraId="1F3397FE"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A licitação será dividida em três lotes, conforme tabela do ANEXO I deste edital, facultando-se ao licitante a participação em quantos lotes forem de seu interesse</w:t>
      </w:r>
      <w:r>
        <w:rPr>
          <w:rFonts w:ascii="Times New Roman" w:eastAsia="Times New Roman" w:hAnsi="Times New Roman" w:cs="Times New Roman"/>
          <w:sz w:val="26"/>
          <w:szCs w:val="26"/>
        </w:rPr>
        <w:t>.</w:t>
      </w:r>
    </w:p>
    <w:p w14:paraId="195AA918"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Em caso de discordância existente entre as especificações deste objeto descrito no site</w:t>
      </w:r>
    </w:p>
    <w:p w14:paraId="4615AB93"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hyperlink r:id="rId15">
        <w:r>
          <w:rPr>
            <w:rFonts w:ascii="Times New Roman" w:eastAsia="Times New Roman" w:hAnsi="Times New Roman" w:cs="Times New Roman"/>
            <w:color w:val="1155CC"/>
            <w:sz w:val="26"/>
            <w:szCs w:val="26"/>
            <w:u w:val="single"/>
          </w:rPr>
          <w:t>https://bll.org.br</w:t>
        </w:r>
      </w:hyperlink>
      <w:r>
        <w:rPr>
          <w:rFonts w:ascii="Times New Roman" w:eastAsia="Times New Roman" w:hAnsi="Times New Roman" w:cs="Times New Roman"/>
          <w:sz w:val="26"/>
          <w:szCs w:val="26"/>
        </w:rPr>
        <w:t xml:space="preserve"> e as especificações constantes deste Edital, prevalecerão as últimas.</w:t>
      </w:r>
    </w:p>
    <w:p w14:paraId="48640689" w14:textId="77777777" w:rsidR="00A05AD3" w:rsidRDefault="00A05AD3">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p>
    <w:p w14:paraId="405B9155"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2. DA PARTICIPAÇÃO NA LICITAÇÃO</w:t>
      </w:r>
      <w:r>
        <w:rPr>
          <w:rFonts w:ascii="Times New Roman" w:eastAsia="Times New Roman" w:hAnsi="Times New Roman" w:cs="Times New Roman"/>
          <w:sz w:val="26"/>
          <w:szCs w:val="26"/>
        </w:rPr>
        <w:t xml:space="preserve"> </w:t>
      </w:r>
    </w:p>
    <w:p w14:paraId="13E3425F"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2.1.</w:t>
      </w: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DO RECEBIMENTO DAS PROPOSTAS E DATA DO PREGÃO</w:t>
      </w:r>
      <w:r>
        <w:rPr>
          <w:rFonts w:ascii="Times New Roman" w:eastAsia="Times New Roman" w:hAnsi="Times New Roman" w:cs="Times New Roman"/>
          <w:sz w:val="26"/>
          <w:szCs w:val="26"/>
        </w:rPr>
        <w:t xml:space="preserve"> </w:t>
      </w:r>
    </w:p>
    <w:p w14:paraId="1075FDD9"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O Licitante participante deverá observar as condições previstas no presente Edital para o credenciamento junto ao provedor do sistema para participar da licitação (item 5 e seus subitens),</w:t>
      </w:r>
      <w:r>
        <w:rPr>
          <w:rFonts w:ascii="Times New Roman" w:eastAsia="Times New Roman" w:hAnsi="Times New Roman" w:cs="Times New Roman"/>
          <w:color w:val="FF0000"/>
          <w:sz w:val="26"/>
          <w:szCs w:val="26"/>
        </w:rPr>
        <w:t xml:space="preserve"> </w:t>
      </w:r>
      <w:r>
        <w:rPr>
          <w:rFonts w:ascii="Times New Roman" w:eastAsia="Times New Roman" w:hAnsi="Times New Roman" w:cs="Times New Roman"/>
          <w:sz w:val="26"/>
          <w:szCs w:val="26"/>
        </w:rPr>
        <w:t xml:space="preserve">para a data e horário de fim do recebimento das propostas e atentando também para o início da etapa de lances (ambos no preâmbulo do certame). </w:t>
      </w:r>
    </w:p>
    <w:p w14:paraId="19981E50"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7BCFAA8A"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3. DA PARTICIPAÇÃO NO PREGÃO NA FORMA ELETRÔNICA</w:t>
      </w:r>
      <w:r>
        <w:rPr>
          <w:rFonts w:ascii="Times New Roman" w:eastAsia="Times New Roman" w:hAnsi="Times New Roman" w:cs="Times New Roman"/>
          <w:sz w:val="26"/>
          <w:szCs w:val="26"/>
        </w:rPr>
        <w:t xml:space="preserve"> </w:t>
      </w:r>
    </w:p>
    <w:p w14:paraId="68CE7B46"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3.1. </w:t>
      </w:r>
      <w:r>
        <w:rPr>
          <w:rFonts w:ascii="Times New Roman" w:eastAsia="Times New Roman" w:hAnsi="Times New Roman" w:cs="Times New Roman"/>
          <w:sz w:val="26"/>
          <w:szCs w:val="26"/>
        </w:rPr>
        <w:t>Não exclusivo para microempresas e empresas de pequeno porte.</w:t>
      </w:r>
    </w:p>
    <w:p w14:paraId="545C121B"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3.2. </w:t>
      </w:r>
      <w:r>
        <w:rPr>
          <w:rFonts w:ascii="Times New Roman" w:eastAsia="Times New Roman" w:hAnsi="Times New Roman" w:cs="Times New Roman"/>
          <w:sz w:val="26"/>
          <w:szCs w:val="26"/>
        </w:rPr>
        <w:t xml:space="preserve">A microempresa ou empresa de pequeno porte, para estar apta a participar do Pregão na forma eletrônica, deverá quando do cadastramento da proposta inicial de preço a ser digitado no sistema, verificar nos dados cadastrais se assinalou o regime ME/EPP no sistema conforme o seu regime de tributação para fazer valer o direito de prioridade do desempate, segundo os arts. 44 e 45 da Lei Complementar nº 123/2006. </w:t>
      </w:r>
    </w:p>
    <w:p w14:paraId="6B2F824D"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3.3.</w:t>
      </w:r>
      <w:r>
        <w:rPr>
          <w:rFonts w:ascii="Times New Roman" w:eastAsia="Times New Roman" w:hAnsi="Times New Roman" w:cs="Times New Roman"/>
          <w:sz w:val="26"/>
          <w:szCs w:val="26"/>
        </w:rPr>
        <w:t xml:space="preserve"> Não será permitida a participação: </w:t>
      </w:r>
    </w:p>
    <w:p w14:paraId="18A6C4C7"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3.3.1. </w:t>
      </w:r>
      <w:r>
        <w:rPr>
          <w:rFonts w:ascii="Times New Roman" w:eastAsia="Times New Roman" w:hAnsi="Times New Roman" w:cs="Times New Roman"/>
          <w:sz w:val="26"/>
          <w:szCs w:val="26"/>
        </w:rPr>
        <w:t xml:space="preserve">De consórcio de empresas, qualquer que seja sua forma de constituição; </w:t>
      </w:r>
    </w:p>
    <w:p w14:paraId="50D7C30F"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3.3.2. </w:t>
      </w:r>
      <w:r>
        <w:rPr>
          <w:rFonts w:ascii="Times New Roman" w:eastAsia="Times New Roman" w:hAnsi="Times New Roman" w:cs="Times New Roman"/>
          <w:sz w:val="26"/>
          <w:szCs w:val="26"/>
        </w:rPr>
        <w:t xml:space="preserve">De empresas que tenham sido punidas com suspensão do direito de licitar e contratar com a Câmara Municipal, ou declaradas inidôneas para licitar ou contratar com a Administração Pública, ou que estejam impedidas de licitar e contratar. </w:t>
      </w:r>
    </w:p>
    <w:p w14:paraId="0062FC35"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3.3.3.</w:t>
      </w:r>
      <w:r>
        <w:rPr>
          <w:rFonts w:ascii="Times New Roman" w:eastAsia="Times New Roman" w:hAnsi="Times New Roman" w:cs="Times New Roman"/>
          <w:sz w:val="26"/>
          <w:szCs w:val="26"/>
        </w:rPr>
        <w:t xml:space="preserve"> proibidos de participar de licitações e celebrar contratos administrativos/Atas de Registro de Preços, na forma da legislação vigente;</w:t>
      </w:r>
    </w:p>
    <w:p w14:paraId="707223FD"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3.3.4.</w:t>
      </w:r>
      <w:r>
        <w:rPr>
          <w:rFonts w:ascii="Times New Roman" w:eastAsia="Times New Roman" w:hAnsi="Times New Roman" w:cs="Times New Roman"/>
          <w:sz w:val="26"/>
          <w:szCs w:val="26"/>
        </w:rPr>
        <w:t xml:space="preserve"> estrangeiros que não tenham representação legal no Brasil com poderes expressos para receber citação e responder administrativa ou judicialmente;</w:t>
      </w:r>
    </w:p>
    <w:p w14:paraId="65DB9D97"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3.3.5.</w:t>
      </w:r>
      <w:r>
        <w:rPr>
          <w:rFonts w:ascii="Times New Roman" w:eastAsia="Times New Roman" w:hAnsi="Times New Roman" w:cs="Times New Roman"/>
          <w:sz w:val="26"/>
          <w:szCs w:val="26"/>
        </w:rPr>
        <w:t xml:space="preserve"> enquadradas nas disposições no artigo 14 da Lei federal nº 14.133/2021 e suas alterações posteriores, ou ainda,</w:t>
      </w:r>
    </w:p>
    <w:p w14:paraId="35399BAC"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3.3.6.</w:t>
      </w:r>
      <w:r>
        <w:rPr>
          <w:rFonts w:ascii="Times New Roman" w:eastAsia="Times New Roman" w:hAnsi="Times New Roman" w:cs="Times New Roman"/>
          <w:sz w:val="26"/>
          <w:szCs w:val="26"/>
        </w:rPr>
        <w:t xml:space="preserve"> que estejam sob falência, concurso de credores, em processo de dissolução ou liquidação.</w:t>
      </w:r>
    </w:p>
    <w:p w14:paraId="7E15EBF3"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3.3.7.</w:t>
      </w:r>
      <w:r>
        <w:rPr>
          <w:rFonts w:ascii="Times New Roman" w:eastAsia="Times New Roman" w:hAnsi="Times New Roman" w:cs="Times New Roman"/>
          <w:sz w:val="26"/>
          <w:szCs w:val="26"/>
        </w:rPr>
        <w:t xml:space="preserve"> Como requisito para participação neste Pregão, o licitante deverá assinalará “sim”, em campo próprio do sistema eletrônico, relativo às seguintes declarações:</w:t>
      </w:r>
    </w:p>
    <w:p w14:paraId="2A09BAA5"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Se é MEI, ME ou EPP de acordo com a Lei Complementar n.º 123, de 2006;</w:t>
      </w:r>
    </w:p>
    <w:p w14:paraId="524A1F09"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Que o representante que se cadastrou no sistema pode desempenhar as funções que o processo exige;</w:t>
      </w:r>
    </w:p>
    <w:p w14:paraId="009586F9"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 E que a empresa reúne todos os requisitos exigidos no ato convocatório para a habilitação, quanto às condições de qualificação jurídica, técnica, </w:t>
      </w:r>
      <w:proofErr w:type="gramStart"/>
      <w:r>
        <w:rPr>
          <w:rFonts w:ascii="Times New Roman" w:eastAsia="Times New Roman" w:hAnsi="Times New Roman" w:cs="Times New Roman"/>
          <w:sz w:val="26"/>
          <w:szCs w:val="26"/>
        </w:rPr>
        <w:t>econômica financeira</w:t>
      </w:r>
      <w:proofErr w:type="gramEnd"/>
      <w:r>
        <w:rPr>
          <w:rFonts w:ascii="Times New Roman" w:eastAsia="Times New Roman" w:hAnsi="Times New Roman" w:cs="Times New Roman"/>
          <w:sz w:val="26"/>
          <w:szCs w:val="26"/>
        </w:rPr>
        <w:t>, fiscal e trabalhista.</w:t>
      </w:r>
    </w:p>
    <w:p w14:paraId="0367A4C0" w14:textId="77777777" w:rsidR="00A05AD3" w:rsidRDefault="00A05AD3">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p>
    <w:p w14:paraId="3A280642"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4. DO CREDENCIAMENTO PARA ACESSO AO SISTEMA</w:t>
      </w:r>
    </w:p>
    <w:p w14:paraId="2C84F345"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4.1. </w:t>
      </w:r>
      <w:r>
        <w:rPr>
          <w:rFonts w:ascii="Times New Roman" w:eastAsia="Times New Roman" w:hAnsi="Times New Roman" w:cs="Times New Roman"/>
          <w:sz w:val="26"/>
          <w:szCs w:val="26"/>
        </w:rPr>
        <w:t xml:space="preserve">Poderão participar deste Pregão na forma Eletrônica as empresas que apresentarem toda a documentação exigida para o respectivo cadastramento junto a Bolsa Licitações e Leilões do Brasil – BLL. </w:t>
      </w:r>
    </w:p>
    <w:p w14:paraId="037557C4"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4.2. </w:t>
      </w:r>
      <w:r>
        <w:rPr>
          <w:rFonts w:ascii="Times New Roman" w:eastAsia="Times New Roman" w:hAnsi="Times New Roman" w:cs="Times New Roman"/>
          <w:sz w:val="26"/>
          <w:szCs w:val="26"/>
        </w:rPr>
        <w:t xml:space="preserve">A participação do Licitante no Pregão na forma Eletrônica se dará por meio de participação direta ou através de empresas associadas à Bolsa de Licitações do Brasil – BLL, a qual deverá manifestar, por meio de seu operador designado, em campo próprio do sistema, pleno conhecimento, aceitação e atendimento às exigências de habilitação previstas no Edital. </w:t>
      </w:r>
    </w:p>
    <w:p w14:paraId="47B4A86F"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color w:val="FF0000"/>
          <w:sz w:val="26"/>
          <w:szCs w:val="26"/>
        </w:rPr>
      </w:pPr>
      <w:r>
        <w:rPr>
          <w:rFonts w:ascii="Times New Roman" w:eastAsia="Times New Roman" w:hAnsi="Times New Roman" w:cs="Times New Roman"/>
          <w:b/>
          <w:sz w:val="26"/>
          <w:szCs w:val="26"/>
        </w:rPr>
        <w:t xml:space="preserve">4.3. </w:t>
      </w:r>
      <w:r>
        <w:rPr>
          <w:rFonts w:ascii="Times New Roman" w:eastAsia="Times New Roman" w:hAnsi="Times New Roman" w:cs="Times New Roman"/>
          <w:sz w:val="26"/>
          <w:szCs w:val="26"/>
        </w:rPr>
        <w:t xml:space="preserve">O Licitante deverá promover a sua inscrição e credenciamento para participar do pregão. Para isso, os interessados deverão cadastrar-se previamente na Bolsa de Licitações e Leilões do Brasil - BLL através do link </w:t>
      </w:r>
      <w:hyperlink r:id="rId16">
        <w:r>
          <w:rPr>
            <w:rFonts w:ascii="Times New Roman" w:eastAsia="Times New Roman" w:hAnsi="Times New Roman" w:cs="Times New Roman"/>
            <w:color w:val="1155CC"/>
            <w:sz w:val="26"/>
            <w:szCs w:val="26"/>
            <w:u w:val="single"/>
          </w:rPr>
          <w:t>https://bll.org.br/cadastro/</w:t>
        </w:r>
      </w:hyperlink>
      <w:r>
        <w:rPr>
          <w:rFonts w:ascii="Times New Roman" w:eastAsia="Times New Roman" w:hAnsi="Times New Roman" w:cs="Times New Roman"/>
          <w:sz w:val="26"/>
          <w:szCs w:val="26"/>
        </w:rPr>
        <w:t xml:space="preserve"> .</w:t>
      </w:r>
      <w:r>
        <w:rPr>
          <w:rFonts w:ascii="Times New Roman" w:eastAsia="Times New Roman" w:hAnsi="Times New Roman" w:cs="Times New Roman"/>
          <w:color w:val="FF0000"/>
          <w:sz w:val="26"/>
          <w:szCs w:val="26"/>
        </w:rPr>
        <w:t xml:space="preserve"> </w:t>
      </w:r>
    </w:p>
    <w:p w14:paraId="78AE86EF"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4.4. </w:t>
      </w:r>
      <w:r>
        <w:rPr>
          <w:rFonts w:ascii="Times New Roman" w:eastAsia="Times New Roman" w:hAnsi="Times New Roman" w:cs="Times New Roman"/>
          <w:sz w:val="26"/>
          <w:szCs w:val="26"/>
        </w:rPr>
        <w:t xml:space="preserve">O Licitante deverá estar credenciado, de forma direta ou através de empresas associadas à Bolsa de Licitações do Brasil. </w:t>
      </w:r>
    </w:p>
    <w:p w14:paraId="5A7B6C25"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4.5. </w:t>
      </w:r>
      <w:r>
        <w:rPr>
          <w:rFonts w:ascii="Times New Roman" w:eastAsia="Times New Roman" w:hAnsi="Times New Roman" w:cs="Times New Roman"/>
          <w:sz w:val="26"/>
          <w:szCs w:val="26"/>
        </w:rPr>
        <w:t xml:space="preserve">A participação no pregão está condicionada obrigatoriamente a inscrição e credenciamento do Licitante e deverá ser requerido e acompanhado dos seguintes documentos: </w:t>
      </w:r>
    </w:p>
    <w:p w14:paraId="4BF0A1E1"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4.5.1. </w:t>
      </w:r>
      <w:r>
        <w:rPr>
          <w:rFonts w:ascii="Times New Roman" w:eastAsia="Times New Roman" w:hAnsi="Times New Roman" w:cs="Times New Roman"/>
          <w:sz w:val="26"/>
          <w:szCs w:val="26"/>
        </w:rPr>
        <w:t xml:space="preserve">Termo de Credenciamento/Adesão (instrumento particular de mandato), declarando cumprir as exigências do Edital, bem como outorgando poderes específicos de sua representação (direta ou indireta) no pregão; </w:t>
      </w:r>
    </w:p>
    <w:p w14:paraId="697F17CB"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4.5.2. </w:t>
      </w:r>
      <w:r>
        <w:rPr>
          <w:rFonts w:ascii="Times New Roman" w:eastAsia="Times New Roman" w:hAnsi="Times New Roman" w:cs="Times New Roman"/>
          <w:sz w:val="26"/>
          <w:szCs w:val="26"/>
        </w:rPr>
        <w:t xml:space="preserve">Inserção no sistema de especificação do objeto da licitação em conformidade com o Edital, constando preço e o que for necessário, com o CUIDADO para não identificar a empresa participante do certame; </w:t>
      </w:r>
    </w:p>
    <w:p w14:paraId="4BC0A588"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 xml:space="preserve">4.5.3. </w:t>
      </w:r>
      <w:r>
        <w:rPr>
          <w:rFonts w:ascii="Times New Roman" w:eastAsia="Times New Roman" w:hAnsi="Times New Roman" w:cs="Times New Roman"/>
          <w:sz w:val="26"/>
          <w:szCs w:val="26"/>
        </w:rPr>
        <w:t xml:space="preserve">Anexação do Ato Constitutivo (Estatuto ou Contrato Social) no campo de documentos exigidos na plataforma da Bolsa de Licitações do Brasil - BLL para todos os participantes, independentemente de vencedor ou não para fins de alimentação de dados no sistema. O arquivo permanecerá inacessível até a etapa de habilitação, ou seja, restrição padrão da plataforma em garantia do anonimato nas etapas anteriores. </w:t>
      </w:r>
    </w:p>
    <w:p w14:paraId="389B23A1"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4.5.4. </w:t>
      </w:r>
      <w:r>
        <w:rPr>
          <w:rFonts w:ascii="Times New Roman" w:eastAsia="Times New Roman" w:hAnsi="Times New Roman" w:cs="Times New Roman"/>
          <w:sz w:val="26"/>
          <w:szCs w:val="26"/>
        </w:rPr>
        <w:t>As pessoas jurídicas ou firmas individuais interessadas deverão nomear por meio de instrumento de mandato, com firma reconhecida, operador devidamente credenciado em qualquer empresa associada à Bolsa de Licitações e Leilões do Brasil - BLL, atribuindo poderes para formular lances de preços e praticar todos os demais atos e operações no site:</w:t>
      </w:r>
      <w:hyperlink r:id="rId17">
        <w:r>
          <w:rPr>
            <w:rFonts w:ascii="Times New Roman" w:eastAsia="Times New Roman" w:hAnsi="Times New Roman" w:cs="Times New Roman"/>
            <w:sz w:val="26"/>
            <w:szCs w:val="26"/>
          </w:rPr>
          <w:t xml:space="preserve"> </w:t>
        </w:r>
      </w:hyperlink>
      <w:hyperlink r:id="rId18">
        <w:r>
          <w:rPr>
            <w:rFonts w:ascii="Times New Roman" w:eastAsia="Times New Roman" w:hAnsi="Times New Roman" w:cs="Times New Roman"/>
            <w:color w:val="0000FF"/>
            <w:sz w:val="26"/>
            <w:szCs w:val="26"/>
            <w:u w:val="single"/>
          </w:rPr>
          <w:t>www.bll.org.br.</w:t>
        </w:r>
      </w:hyperlink>
      <w:r>
        <w:rPr>
          <w:rFonts w:ascii="Times New Roman" w:eastAsia="Times New Roman" w:hAnsi="Times New Roman" w:cs="Times New Roman"/>
          <w:sz w:val="26"/>
          <w:szCs w:val="26"/>
        </w:rPr>
        <w:t xml:space="preserve"> </w:t>
      </w:r>
    </w:p>
    <w:p w14:paraId="32B2AD6F"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4.5.5. </w:t>
      </w:r>
      <w:r>
        <w:rPr>
          <w:rFonts w:ascii="Times New Roman" w:eastAsia="Times New Roman" w:hAnsi="Times New Roman" w:cs="Times New Roman"/>
          <w:sz w:val="26"/>
          <w:szCs w:val="26"/>
        </w:rPr>
        <w:t xml:space="preserve">O acesso do operador ao Pregão na forma Eletrônica se dará por meio da digitação da SENHA pessoal e INTRANSFERÍVEL do representante credenciado e subsequente encaminhamento da proposta de preços, exclusivamente por meio do sistema eletrônico, observados dia e horário limites estabelecidos. </w:t>
      </w:r>
    </w:p>
    <w:p w14:paraId="0BB43BEA"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4.5.6. </w:t>
      </w:r>
      <w:r>
        <w:rPr>
          <w:rFonts w:ascii="Times New Roman" w:eastAsia="Times New Roman" w:hAnsi="Times New Roman" w:cs="Times New Roman"/>
          <w:sz w:val="26"/>
          <w:szCs w:val="26"/>
        </w:rPr>
        <w:t xml:space="preserve">A CHAVE de identificação e a SENHA dos operadores poderão ser utilizadas em qualquer Pregão na forma Eletrônica, salvo quando canceladas por solicitação do credenciado ou por iniciativa da Bolsa de Licitações e Leilões do Brasil - BLL. </w:t>
      </w:r>
    </w:p>
    <w:p w14:paraId="1C6B4984"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4.5.7. </w:t>
      </w:r>
      <w:r>
        <w:rPr>
          <w:rFonts w:ascii="Times New Roman" w:eastAsia="Times New Roman" w:hAnsi="Times New Roman" w:cs="Times New Roman"/>
          <w:sz w:val="26"/>
          <w:szCs w:val="26"/>
        </w:rPr>
        <w:t xml:space="preserve">O credenciamento do Licitante participante e de seu representante legal junto ao sistema eletrônico implica a responsabilidade legal pelos atos praticados e a presunção de capacidade técnica para realização das transações inerentes ao pregão na forma eletrônica. </w:t>
      </w:r>
    </w:p>
    <w:p w14:paraId="5AF007B2"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4.5.8. </w:t>
      </w:r>
      <w:r>
        <w:rPr>
          <w:rFonts w:ascii="Times New Roman" w:eastAsia="Times New Roman" w:hAnsi="Times New Roman" w:cs="Times New Roman"/>
          <w:sz w:val="26"/>
          <w:szCs w:val="26"/>
        </w:rPr>
        <w:t xml:space="preserve">Caberá ao Licitante participante acompanhar as operações no sistema eletrônico durante a sessão pública do pregão, ficando responsável pelo ônus decorrente da perda de negócios diante da inobservância de quaisquer mensagens emitidas pelo sistema ou da desconexão do seu representante. </w:t>
      </w:r>
    </w:p>
    <w:p w14:paraId="45642117"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4.5.9. </w:t>
      </w:r>
      <w:r>
        <w:rPr>
          <w:rFonts w:ascii="Times New Roman" w:eastAsia="Times New Roman" w:hAnsi="Times New Roman" w:cs="Times New Roman"/>
          <w:sz w:val="26"/>
          <w:szCs w:val="26"/>
        </w:rPr>
        <w:t xml:space="preserve">O Licitante participante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 </w:t>
      </w:r>
    </w:p>
    <w:p w14:paraId="2D5638A3"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4.5.10. </w:t>
      </w:r>
      <w:r>
        <w:rPr>
          <w:rFonts w:ascii="Times New Roman" w:eastAsia="Times New Roman" w:hAnsi="Times New Roman" w:cs="Times New Roman"/>
          <w:sz w:val="26"/>
          <w:szCs w:val="26"/>
        </w:rPr>
        <w:t xml:space="preserve">O custo de operacionalização e uso do sistema ficará a cargo do Licitante vencedor do certame que pagará a Bolsa de Licitações e Leilões do Brasil – BLL, provedora do sistema eletrônico, o equivalente ao percentual estabelecido pela mesma sobre o valor contratual ajustado, a título de taxa de utilização dos recursos de tecnologia da informação, em conformidade com o regulamento operacional da Bolsa de Licitações do Brasil - BLL. </w:t>
      </w:r>
    </w:p>
    <w:p w14:paraId="5FC7916A"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 xml:space="preserve">4.5.11. </w:t>
      </w:r>
      <w:r>
        <w:rPr>
          <w:rFonts w:ascii="Times New Roman" w:eastAsia="Times New Roman" w:hAnsi="Times New Roman" w:cs="Times New Roman"/>
          <w:sz w:val="26"/>
          <w:szCs w:val="26"/>
        </w:rPr>
        <w:t xml:space="preserve">Qualquer dúvida em relação ao acesso no sistema operacional poderá ser esclarecida ou através de uma empresa associada pelo telefone: Curitiba-PR (41) 3097- 4600, ou com a Bolsa de Licitações e Leilões do Brasil - BLL ou ainda pelo e-mail: </w:t>
      </w:r>
      <w:r>
        <w:rPr>
          <w:rFonts w:ascii="Times New Roman" w:eastAsia="Times New Roman" w:hAnsi="Times New Roman" w:cs="Times New Roman"/>
          <w:color w:val="0000FF"/>
          <w:sz w:val="26"/>
          <w:szCs w:val="26"/>
          <w:u w:val="single"/>
        </w:rPr>
        <w:t>contato@bll.org.br.</w:t>
      </w:r>
      <w:r>
        <w:rPr>
          <w:rFonts w:ascii="Times New Roman" w:eastAsia="Times New Roman" w:hAnsi="Times New Roman" w:cs="Times New Roman"/>
          <w:sz w:val="26"/>
          <w:szCs w:val="26"/>
        </w:rPr>
        <w:t xml:space="preserve"> </w:t>
      </w:r>
    </w:p>
    <w:p w14:paraId="0622854D"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75607CC3"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5. DO REGULAMENTO OPERACIONAL DO CERTAME</w:t>
      </w:r>
      <w:r>
        <w:rPr>
          <w:rFonts w:ascii="Times New Roman" w:eastAsia="Times New Roman" w:hAnsi="Times New Roman" w:cs="Times New Roman"/>
          <w:sz w:val="26"/>
          <w:szCs w:val="26"/>
        </w:rPr>
        <w:t xml:space="preserve"> </w:t>
      </w:r>
    </w:p>
    <w:p w14:paraId="119F41F9"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5.1. </w:t>
      </w:r>
      <w:r>
        <w:rPr>
          <w:rFonts w:ascii="Times New Roman" w:eastAsia="Times New Roman" w:hAnsi="Times New Roman" w:cs="Times New Roman"/>
          <w:sz w:val="26"/>
          <w:szCs w:val="26"/>
        </w:rPr>
        <w:t xml:space="preserve">O certame será conduzido pelo(a) Pregoeiro(a), com auxílio da equipe de apoio, que terá, em especial, as seguintes atribuições: </w:t>
      </w:r>
    </w:p>
    <w:p w14:paraId="25B2AE1F" w14:textId="77777777" w:rsidR="00A05AD3" w:rsidRDefault="00000000">
      <w:pPr>
        <w:numPr>
          <w:ilvl w:val="0"/>
          <w:numId w:val="4"/>
        </w:numPr>
        <w:pBdr>
          <w:top w:val="none" w:sz="0" w:space="0" w:color="000000"/>
          <w:bottom w:val="none" w:sz="0" w:space="0" w:color="000000"/>
          <w:right w:val="none" w:sz="0" w:space="0" w:color="000000"/>
          <w:between w:val="none" w:sz="0" w:space="0" w:color="000000"/>
        </w:pBd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acompanhar os trabalhos da equipe de apoio; </w:t>
      </w:r>
    </w:p>
    <w:p w14:paraId="52CEABBC" w14:textId="77777777" w:rsidR="00A05AD3" w:rsidRDefault="00000000">
      <w:pPr>
        <w:numPr>
          <w:ilvl w:val="0"/>
          <w:numId w:val="8"/>
        </w:numPr>
        <w:pBdr>
          <w:top w:val="none" w:sz="0" w:space="0" w:color="000000"/>
          <w:bottom w:val="none" w:sz="0" w:space="0" w:color="000000"/>
          <w:right w:val="none" w:sz="0" w:space="0" w:color="000000"/>
          <w:between w:val="none" w:sz="0" w:space="0" w:color="000000"/>
        </w:pBd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responder às questões formuladas pelos fornecedores, relativas ao certame; </w:t>
      </w:r>
    </w:p>
    <w:p w14:paraId="5D9F2848" w14:textId="77777777" w:rsidR="00A05AD3" w:rsidRDefault="00000000">
      <w:pPr>
        <w:numPr>
          <w:ilvl w:val="0"/>
          <w:numId w:val="16"/>
        </w:numPr>
        <w:pBdr>
          <w:top w:val="none" w:sz="0" w:space="0" w:color="000000"/>
          <w:bottom w:val="none" w:sz="0" w:space="0" w:color="000000"/>
          <w:right w:val="none" w:sz="0" w:space="0" w:color="000000"/>
          <w:between w:val="none" w:sz="0" w:space="0" w:color="000000"/>
        </w:pBd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abrir as propostas de preços; </w:t>
      </w:r>
    </w:p>
    <w:p w14:paraId="3DD93BF5" w14:textId="77777777" w:rsidR="00A05AD3" w:rsidRDefault="00000000">
      <w:pPr>
        <w:numPr>
          <w:ilvl w:val="0"/>
          <w:numId w:val="1"/>
        </w:numPr>
        <w:pBdr>
          <w:top w:val="none" w:sz="0" w:space="0" w:color="000000"/>
          <w:bottom w:val="none" w:sz="0" w:space="0" w:color="000000"/>
          <w:right w:val="none" w:sz="0" w:space="0" w:color="000000"/>
          <w:between w:val="none" w:sz="0" w:space="0" w:color="000000"/>
        </w:pBd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analisar a aceitabilidade das propostas; </w:t>
      </w:r>
    </w:p>
    <w:p w14:paraId="51DDEBC3" w14:textId="77777777" w:rsidR="00A05AD3" w:rsidRDefault="00000000">
      <w:pPr>
        <w:numPr>
          <w:ilvl w:val="0"/>
          <w:numId w:val="6"/>
        </w:numPr>
        <w:pBdr>
          <w:top w:val="none" w:sz="0" w:space="0" w:color="000000"/>
          <w:bottom w:val="none" w:sz="0" w:space="0" w:color="000000"/>
          <w:right w:val="none" w:sz="0" w:space="0" w:color="000000"/>
          <w:between w:val="none" w:sz="0" w:space="0" w:color="000000"/>
        </w:pBd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desclassificar propostas indicando os motivos; </w:t>
      </w:r>
    </w:p>
    <w:p w14:paraId="49AA75CD" w14:textId="77777777" w:rsidR="00A05AD3" w:rsidRDefault="00000000">
      <w:pPr>
        <w:numPr>
          <w:ilvl w:val="0"/>
          <w:numId w:val="12"/>
        </w:numPr>
        <w:pBdr>
          <w:top w:val="none" w:sz="0" w:space="0" w:color="000000"/>
          <w:bottom w:val="none" w:sz="0" w:space="0" w:color="000000"/>
          <w:right w:val="none" w:sz="0" w:space="0" w:color="000000"/>
          <w:between w:val="none" w:sz="0" w:space="0" w:color="000000"/>
        </w:pBd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conduzir os procedimentos relativos aos lances e à escolha da proposta do lance de menor preço; </w:t>
      </w:r>
    </w:p>
    <w:p w14:paraId="2B760AC5" w14:textId="77777777" w:rsidR="00A05AD3" w:rsidRDefault="00000000">
      <w:pPr>
        <w:numPr>
          <w:ilvl w:val="0"/>
          <w:numId w:val="13"/>
        </w:numPr>
        <w:pBdr>
          <w:top w:val="none" w:sz="0" w:space="0" w:color="000000"/>
          <w:bottom w:val="none" w:sz="0" w:space="0" w:color="000000"/>
          <w:right w:val="none" w:sz="0" w:space="0" w:color="000000"/>
          <w:between w:val="none" w:sz="0" w:space="0" w:color="000000"/>
        </w:pBd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verificar a habilitação do proponente classificado em primeiro lugar; </w:t>
      </w:r>
    </w:p>
    <w:p w14:paraId="6A88047A" w14:textId="77777777" w:rsidR="00A05AD3" w:rsidRDefault="00000000">
      <w:pPr>
        <w:numPr>
          <w:ilvl w:val="0"/>
          <w:numId w:val="7"/>
        </w:numPr>
        <w:pBdr>
          <w:top w:val="none" w:sz="0" w:space="0" w:color="000000"/>
          <w:bottom w:val="none" w:sz="0" w:space="0" w:color="000000"/>
          <w:right w:val="none" w:sz="0" w:space="0" w:color="000000"/>
          <w:between w:val="none" w:sz="0" w:space="0" w:color="000000"/>
        </w:pBd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declarar o vencedor; </w:t>
      </w:r>
    </w:p>
    <w:p w14:paraId="7F209F26" w14:textId="77777777" w:rsidR="00A05AD3" w:rsidRDefault="00000000">
      <w:pPr>
        <w:numPr>
          <w:ilvl w:val="0"/>
          <w:numId w:val="17"/>
        </w:numPr>
        <w:pBdr>
          <w:top w:val="none" w:sz="0" w:space="0" w:color="000000"/>
          <w:bottom w:val="none" w:sz="0" w:space="0" w:color="000000"/>
          <w:right w:val="none" w:sz="0" w:space="0" w:color="000000"/>
          <w:between w:val="none" w:sz="0" w:space="0" w:color="000000"/>
        </w:pBd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receber, examinar e decidir sobre a pertinência dos recursos; </w:t>
      </w:r>
    </w:p>
    <w:p w14:paraId="2186650D" w14:textId="77777777" w:rsidR="00A05AD3" w:rsidRDefault="00000000">
      <w:pPr>
        <w:numPr>
          <w:ilvl w:val="0"/>
          <w:numId w:val="9"/>
        </w:numPr>
        <w:pBdr>
          <w:top w:val="none" w:sz="0" w:space="0" w:color="000000"/>
          <w:bottom w:val="none" w:sz="0" w:space="0" w:color="000000"/>
          <w:right w:val="none" w:sz="0" w:space="0" w:color="000000"/>
          <w:between w:val="none" w:sz="0" w:space="0" w:color="000000"/>
        </w:pBd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elaborar a ata da sessão com o auxílio eletrônico; </w:t>
      </w:r>
    </w:p>
    <w:p w14:paraId="3BDF5B18" w14:textId="77777777" w:rsidR="00A05AD3" w:rsidRDefault="00000000">
      <w:pPr>
        <w:numPr>
          <w:ilvl w:val="0"/>
          <w:numId w:val="10"/>
        </w:numPr>
        <w:pBdr>
          <w:top w:val="none" w:sz="0" w:space="0" w:color="000000"/>
          <w:bottom w:val="none" w:sz="0" w:space="0" w:color="000000"/>
          <w:right w:val="none" w:sz="0" w:space="0" w:color="000000"/>
          <w:between w:val="none" w:sz="0" w:space="0" w:color="000000"/>
        </w:pBd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encaminhar o processo à autoridade superior para Adjudicação e homologação; </w:t>
      </w:r>
    </w:p>
    <w:p w14:paraId="02B68A7A" w14:textId="77777777" w:rsidR="00A05AD3" w:rsidRDefault="00000000">
      <w:pPr>
        <w:numPr>
          <w:ilvl w:val="0"/>
          <w:numId w:val="14"/>
        </w:numPr>
        <w:pBdr>
          <w:top w:val="none" w:sz="0" w:space="0" w:color="000000"/>
          <w:bottom w:val="none" w:sz="0" w:space="0" w:color="000000"/>
          <w:right w:val="none" w:sz="0" w:space="0" w:color="000000"/>
          <w:between w:val="none" w:sz="0" w:space="0" w:color="000000"/>
        </w:pBd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abrir processo administrativo para apuração de irregularidades visando a aplicação de penalidades previstas na legislação. </w:t>
      </w:r>
    </w:p>
    <w:p w14:paraId="2FEB2D3C"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6C331224"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6. DA APRESENTAÇÃO DA PROPOSTA E DOS DOCUMENTOS DE HABILITAÇÃO</w:t>
      </w:r>
      <w:r>
        <w:rPr>
          <w:rFonts w:ascii="Times New Roman" w:eastAsia="Times New Roman" w:hAnsi="Times New Roman" w:cs="Times New Roman"/>
          <w:sz w:val="26"/>
          <w:szCs w:val="26"/>
        </w:rPr>
        <w:t xml:space="preserve"> </w:t>
      </w:r>
    </w:p>
    <w:p w14:paraId="7E4BDA86"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6.1. </w:t>
      </w:r>
      <w:r>
        <w:rPr>
          <w:rFonts w:ascii="Times New Roman" w:eastAsia="Times New Roman" w:hAnsi="Times New Roman" w:cs="Times New Roman"/>
          <w:sz w:val="26"/>
          <w:szCs w:val="26"/>
          <w:u w:val="single"/>
        </w:rPr>
        <w:t>Os Licitantes participantes encaminharão, exclusivamente por meio do sistema, concomitantemente com os documentos de habilitação exigidos no Edital, proposta com a descrição do objeto ofertado e o preço, até a data e o horário estabelecidos para o fim do recebimento de propostas, quando, então, encerrar-se-á automaticamente a etapa de envio dessa documentação</w:t>
      </w:r>
      <w:r>
        <w:rPr>
          <w:rFonts w:ascii="Times New Roman" w:eastAsia="Times New Roman" w:hAnsi="Times New Roman" w:cs="Times New Roman"/>
          <w:sz w:val="26"/>
          <w:szCs w:val="26"/>
        </w:rPr>
        <w:t xml:space="preserve">. </w:t>
      </w:r>
    </w:p>
    <w:p w14:paraId="3F0B32CD"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6.2. </w:t>
      </w:r>
      <w:r>
        <w:rPr>
          <w:rFonts w:ascii="Times New Roman" w:eastAsia="Times New Roman" w:hAnsi="Times New Roman" w:cs="Times New Roman"/>
          <w:sz w:val="26"/>
          <w:szCs w:val="26"/>
        </w:rPr>
        <w:t xml:space="preserve">O envio da proposta, acompanhada dos documentos de habilitação exigidos no Edital, ocorrerá por meio de chave de acesso e senha. </w:t>
      </w:r>
    </w:p>
    <w:p w14:paraId="2BA8C082"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6.3. </w:t>
      </w:r>
      <w:r>
        <w:rPr>
          <w:rFonts w:ascii="Times New Roman" w:eastAsia="Times New Roman" w:hAnsi="Times New Roman" w:cs="Times New Roman"/>
          <w:sz w:val="26"/>
          <w:szCs w:val="26"/>
        </w:rPr>
        <w:t xml:space="preserve">Até o horário fixado neste Edital para o fim do recebimento de propostas, os Licitantes poderão retirar ou substituir a proposta e os documentos de habilitação anteriormente inseridos no sistema. </w:t>
      </w:r>
    </w:p>
    <w:p w14:paraId="03EE137F"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6.4. </w:t>
      </w:r>
      <w:r>
        <w:rPr>
          <w:rFonts w:ascii="Times New Roman" w:eastAsia="Times New Roman" w:hAnsi="Times New Roman" w:cs="Times New Roman"/>
          <w:sz w:val="26"/>
          <w:szCs w:val="26"/>
        </w:rPr>
        <w:t xml:space="preserve">Os documentos que compõem a proposta e a habilitação do Licitante melhor classificado somente serão disponibilizados para avaliação do(a) Pregoeiro(a) e para acesso público após o encerramento do envio de lances. </w:t>
      </w:r>
    </w:p>
    <w:p w14:paraId="5F6EA190"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 xml:space="preserve">6.5. </w:t>
      </w:r>
      <w:r>
        <w:rPr>
          <w:rFonts w:ascii="Times New Roman" w:eastAsia="Times New Roman" w:hAnsi="Times New Roman" w:cs="Times New Roman"/>
          <w:sz w:val="26"/>
          <w:szCs w:val="26"/>
        </w:rPr>
        <w:t xml:space="preserve">O encaminhamento de proposta para o sistema eletrônico pressupõe o pleno conhecimento e atendimento às exigências de habilitação previstas no Edital. </w:t>
      </w:r>
    </w:p>
    <w:p w14:paraId="3238F485"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6.6.</w:t>
      </w:r>
      <w:r>
        <w:rPr>
          <w:rFonts w:ascii="Times New Roman" w:eastAsia="Times New Roman" w:hAnsi="Times New Roman" w:cs="Times New Roman"/>
          <w:sz w:val="26"/>
          <w:szCs w:val="26"/>
        </w:rPr>
        <w:t xml:space="preserve"> Os preços e os produtos/serviços propostos são de exclusiva responsabilidade da licitante, assumindo como firmes e verdadeiras suas propostas e lances, não lhe assistindo o direito de pleitear qualquer alteração, sob alegação de erro, omissão ou qualquer outro pretexto.</w:t>
      </w:r>
    </w:p>
    <w:p w14:paraId="4E0958AC"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6.7. </w:t>
      </w:r>
      <w:r>
        <w:rPr>
          <w:rFonts w:ascii="Times New Roman" w:eastAsia="Times New Roman" w:hAnsi="Times New Roman" w:cs="Times New Roman"/>
          <w:sz w:val="26"/>
          <w:szCs w:val="26"/>
        </w:rPr>
        <w:t xml:space="preserve">As Microempresas e Empresas de Pequeno Porte deverão encaminhar a documentação de habilitação, ainda que haja alguma restrição de regularidade fiscal e trabalhista, nos termos do art. 43, § 1º da Lei Complementar nº 123, de 2006. </w:t>
      </w:r>
    </w:p>
    <w:p w14:paraId="579BADD4"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6.8.</w:t>
      </w:r>
      <w:r>
        <w:rPr>
          <w:rFonts w:ascii="Times New Roman" w:eastAsia="Times New Roman" w:hAnsi="Times New Roman" w:cs="Times New Roman"/>
          <w:sz w:val="26"/>
          <w:szCs w:val="26"/>
        </w:rPr>
        <w:t xml:space="preserve"> Ao oferecer sua proposta no sistema eletrônico, o licitante deverá observar rigorosamente a descrição dos itens e considerar as condições estabelecidas no Edital e seus anexos, descrevendo detalhadamente as características do objeto cotado, informando marca/fabricante (se for o caso) em campo próprio do sistema, preço unitário por item, com até quatro casas decimais após a vírgula.</w:t>
      </w:r>
    </w:p>
    <w:p w14:paraId="0A6874B6"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6.9. </w:t>
      </w:r>
      <w:r>
        <w:rPr>
          <w:rFonts w:ascii="Times New Roman" w:eastAsia="Times New Roman" w:hAnsi="Times New Roman" w:cs="Times New Roman"/>
          <w:sz w:val="26"/>
          <w:szCs w:val="26"/>
        </w:rPr>
        <w:t xml:space="preserve">Incumbirá ao Licitante acompanhar as operações no sistema eletrônico durante a sessão pública do Pregão na forma Eletrônica, ficando responsável pelo ônus decorrente da perda de negócios, diante da inobservância de quaisquer mensagens emitidas pelo sistema ou de sua desconexão. </w:t>
      </w:r>
    </w:p>
    <w:p w14:paraId="645223A9"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6.8. </w:t>
      </w:r>
      <w:r>
        <w:rPr>
          <w:rFonts w:ascii="Times New Roman" w:eastAsia="Times New Roman" w:hAnsi="Times New Roman" w:cs="Times New Roman"/>
          <w:sz w:val="26"/>
          <w:szCs w:val="26"/>
        </w:rPr>
        <w:t xml:space="preserve">A validade da proposta será de 60 (sessenta) dias, contados a partir da data da sessão pública do Pregão na forma Eletrônica. </w:t>
      </w:r>
    </w:p>
    <w:p w14:paraId="3E2EF76A"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6.9. </w:t>
      </w:r>
      <w:r>
        <w:rPr>
          <w:rFonts w:ascii="Times New Roman" w:eastAsia="Times New Roman" w:hAnsi="Times New Roman" w:cs="Times New Roman"/>
          <w:sz w:val="26"/>
          <w:szCs w:val="26"/>
        </w:rPr>
        <w:t>Nos valores propostos deverão estar inclusos todos os custos operacionais, encargos previdenciários, trabalhistas, tributários, comerciais, tributos, fretes e carretos, inclusive ICMS e quaisquer outros que incidam direta ou indiretamente no fornecimento dos bens ou da prestação de serviços, de forma que o objeto do certame não tenha ônus para a Câmara Municipal de Mococa.</w:t>
      </w:r>
    </w:p>
    <w:p w14:paraId="2AD6825D"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6.10.</w:t>
      </w:r>
      <w:r>
        <w:rPr>
          <w:rFonts w:ascii="Times New Roman" w:eastAsia="Times New Roman" w:hAnsi="Times New Roman" w:cs="Times New Roman"/>
          <w:sz w:val="26"/>
          <w:szCs w:val="26"/>
        </w:rPr>
        <w:t xml:space="preserve"> Não será estabelecida, nesta etapa do certame, ordem de classificação entre as propostas apresentadas, o que somente ocorrerá após a realização dos procedimentos de negociação e julgamento da proposta. </w:t>
      </w:r>
    </w:p>
    <w:p w14:paraId="0253EFFF"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6.11.</w:t>
      </w:r>
      <w:r>
        <w:rPr>
          <w:rFonts w:ascii="Times New Roman" w:eastAsia="Times New Roman" w:hAnsi="Times New Roman" w:cs="Times New Roman"/>
          <w:sz w:val="26"/>
          <w:szCs w:val="26"/>
        </w:rPr>
        <w:t xml:space="preserve"> Os documentos que compõem a proposta e a habilitação do licitante melhor classificado somente serão disponibilizados para avaliação do pregoeiro e para acesso público após o encerramento do envio de lances. </w:t>
      </w:r>
    </w:p>
    <w:p w14:paraId="692AC4AE"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28C82626"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7. DO MODO DE DISPUTA ADOTADO NA ETAPA DE ENVIO DE LANCES</w:t>
      </w: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 xml:space="preserve">7.1. </w:t>
      </w:r>
      <w:r>
        <w:rPr>
          <w:rFonts w:ascii="Times New Roman" w:eastAsia="Times New Roman" w:hAnsi="Times New Roman" w:cs="Times New Roman"/>
          <w:sz w:val="26"/>
          <w:szCs w:val="26"/>
        </w:rPr>
        <w:t>Será adotado para o envio de lances no pregão eletrônico</w:t>
      </w:r>
      <w:r>
        <w:rPr>
          <w:rFonts w:ascii="Times New Roman" w:eastAsia="Times New Roman" w:hAnsi="Times New Roman" w:cs="Times New Roman"/>
          <w:b/>
          <w:sz w:val="26"/>
          <w:szCs w:val="26"/>
        </w:rPr>
        <w:t xml:space="preserve"> o modo de disputa aberto</w:t>
      </w:r>
      <w:r>
        <w:rPr>
          <w:rFonts w:ascii="Times New Roman" w:eastAsia="Times New Roman" w:hAnsi="Times New Roman" w:cs="Times New Roman"/>
          <w:sz w:val="26"/>
          <w:szCs w:val="26"/>
        </w:rPr>
        <w:t xml:space="preserve">. </w:t>
      </w:r>
    </w:p>
    <w:p w14:paraId="216C4F9B"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7.2. </w:t>
      </w:r>
      <w:r>
        <w:rPr>
          <w:rFonts w:ascii="Times New Roman" w:eastAsia="Times New Roman" w:hAnsi="Times New Roman" w:cs="Times New Roman"/>
          <w:sz w:val="26"/>
          <w:szCs w:val="26"/>
        </w:rPr>
        <w:t>A etapa de lances da sessão pública terá duração inicial de 10 minutos. Ocorrendo algum lance nos últimos 2 minutos, dos 10 minutos fixados da fase aberta, ensejará prorrogação automática de mais 2 minutos, e assim sucessivamente, sempre que houver lance ofertado neste período.de prorrogação.</w:t>
      </w:r>
    </w:p>
    <w:p w14:paraId="5336B1F1"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7.3.</w:t>
      </w:r>
      <w:r>
        <w:rPr>
          <w:rFonts w:ascii="Times New Roman" w:eastAsia="Times New Roman" w:hAnsi="Times New Roman" w:cs="Times New Roman"/>
          <w:sz w:val="26"/>
          <w:szCs w:val="26"/>
        </w:rPr>
        <w:t xml:space="preserve"> Não havendo novos lances na forma estabelecida no item 7.2., a etapa será encerrada automaticamente e o sistema ordenará e divulgará os lances. </w:t>
      </w:r>
    </w:p>
    <w:p w14:paraId="74555313"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7.4. </w:t>
      </w:r>
      <w:r>
        <w:rPr>
          <w:rFonts w:ascii="Times New Roman" w:eastAsia="Times New Roman" w:hAnsi="Times New Roman" w:cs="Times New Roman"/>
          <w:sz w:val="26"/>
          <w:szCs w:val="26"/>
        </w:rPr>
        <w:t xml:space="preserve">Após a definição da melhor proposta, se a diferença em relação à proposta classificada em segundo lugar for de pelo menos 5% (cinco por cento), a Administração poderá admitir o reinício da disputa aberta, nos termos estabelecidos no instrumento convocatório, para a definição das demais colocações. </w:t>
      </w:r>
    </w:p>
    <w:p w14:paraId="0860E8A8"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7.5.</w:t>
      </w:r>
      <w:r>
        <w:rPr>
          <w:rFonts w:ascii="Times New Roman" w:eastAsia="Times New Roman" w:hAnsi="Times New Roman" w:cs="Times New Roman"/>
          <w:sz w:val="26"/>
          <w:szCs w:val="26"/>
        </w:rPr>
        <w:t xml:space="preserve"> Havendo o reinício, os licitantes serão convocados para apresentar lances intermediários, podendo optar por manter o seu último lance ou por ofertar valor menor, sendo que os lances iguais serão classificados conforme a ordem de registro no sistema.  </w:t>
      </w:r>
    </w:p>
    <w:p w14:paraId="08CA261D"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7.6. </w:t>
      </w:r>
      <w:r>
        <w:rPr>
          <w:rFonts w:ascii="Times New Roman" w:eastAsia="Times New Roman" w:hAnsi="Times New Roman" w:cs="Times New Roman"/>
          <w:sz w:val="26"/>
          <w:szCs w:val="26"/>
        </w:rPr>
        <w:t xml:space="preserve">Após o término dos prazos estabelecidos nos itens anteriores, o sistema ordenará os lances segundo a ordem crescente de valores. </w:t>
      </w:r>
    </w:p>
    <w:p w14:paraId="4E24D909"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7.7. </w:t>
      </w:r>
      <w:r>
        <w:rPr>
          <w:rFonts w:ascii="Times New Roman" w:eastAsia="Times New Roman" w:hAnsi="Times New Roman" w:cs="Times New Roman"/>
          <w:sz w:val="26"/>
          <w:szCs w:val="26"/>
        </w:rPr>
        <w:t xml:space="preserve">Poderá o(a) pregoeiro(a), auxiliado(a) pela equipe de apoio, justificadamente, admitir o reinício da etapa fechada, caso nenhum Licitante classificado na etapa de lance fechado atender às exigências de habilitação. </w:t>
      </w:r>
    </w:p>
    <w:p w14:paraId="76A71871"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03618FA8"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8. DO PREENCHIMENTO DA PROPOSTA NO SISTEMA ELETRÔNICO</w:t>
      </w:r>
      <w:r>
        <w:rPr>
          <w:rFonts w:ascii="Times New Roman" w:eastAsia="Times New Roman" w:hAnsi="Times New Roman" w:cs="Times New Roman"/>
          <w:sz w:val="26"/>
          <w:szCs w:val="26"/>
        </w:rPr>
        <w:t xml:space="preserve"> </w:t>
      </w:r>
    </w:p>
    <w:p w14:paraId="50D0C306"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8.1. </w:t>
      </w:r>
      <w:r>
        <w:rPr>
          <w:rFonts w:ascii="Times New Roman" w:eastAsia="Times New Roman" w:hAnsi="Times New Roman" w:cs="Times New Roman"/>
          <w:sz w:val="26"/>
          <w:szCs w:val="26"/>
        </w:rPr>
        <w:t xml:space="preserve">O Licitante deverá enviar sua proposta mediante o preenchimento, no sistema eletrônico, dos seguintes campos: </w:t>
      </w:r>
    </w:p>
    <w:p w14:paraId="73D69059"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8.1.1. </w:t>
      </w:r>
      <w:r>
        <w:rPr>
          <w:rFonts w:ascii="Times New Roman" w:eastAsia="Times New Roman" w:hAnsi="Times New Roman" w:cs="Times New Roman"/>
          <w:sz w:val="26"/>
          <w:szCs w:val="26"/>
        </w:rPr>
        <w:t xml:space="preserve">VALOR UNITÁRIO E TOTAL DO ITEM, em moeda corrente nacional, em algarismos, sem inclusão de qualquer encargo financeiro ou previsão inflacionária com até duas casas decimais após a vírgula. Nos preços propostos deverão estar incluídos, além do lucro, todas as despesas e custos diretos ou indiretos relacionados ao fornecimento do objeto da presente licitação, tais como tributos, remunerações, despesas financeiras e quaisquer outras necessárias ao cumprimento do objeto desta licitação, inclusive gastos com transporte; </w:t>
      </w:r>
    </w:p>
    <w:p w14:paraId="096C9800"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8.1.2. </w:t>
      </w:r>
      <w:r>
        <w:rPr>
          <w:rFonts w:ascii="Times New Roman" w:eastAsia="Times New Roman" w:hAnsi="Times New Roman" w:cs="Times New Roman"/>
          <w:sz w:val="26"/>
          <w:szCs w:val="26"/>
        </w:rPr>
        <w:t xml:space="preserve">DESCRIÇÃO DO OBJETO. </w:t>
      </w:r>
    </w:p>
    <w:p w14:paraId="2610009C"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8.2. </w:t>
      </w:r>
      <w:r>
        <w:rPr>
          <w:rFonts w:ascii="Times New Roman" w:eastAsia="Times New Roman" w:hAnsi="Times New Roman" w:cs="Times New Roman"/>
          <w:sz w:val="26"/>
          <w:szCs w:val="26"/>
        </w:rPr>
        <w:t xml:space="preserve">No preenchimento da proposta eletrônica, no sistema deverão obrigatoriamente ser informadas no campo próprio as ESPECIFICAÇÕES conforme o Termo de Referência, incluindo marca e modelo do produto. A não inserção das informações nestes campos implicará na desclassificação do Licitante, face à ausência de informação suficiente para classificação da proposta. </w:t>
      </w:r>
    </w:p>
    <w:p w14:paraId="4EF41486"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8.3. </w:t>
      </w:r>
      <w:r>
        <w:rPr>
          <w:rFonts w:ascii="Times New Roman" w:eastAsia="Times New Roman" w:hAnsi="Times New Roman" w:cs="Times New Roman"/>
          <w:sz w:val="26"/>
          <w:szCs w:val="26"/>
        </w:rPr>
        <w:t xml:space="preserve">Todas as especificações do objeto contidas na proposta vinculam o Licitante. </w:t>
      </w:r>
    </w:p>
    <w:p w14:paraId="04C426D5"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8.4. </w:t>
      </w:r>
      <w:r>
        <w:rPr>
          <w:rFonts w:ascii="Times New Roman" w:eastAsia="Times New Roman" w:hAnsi="Times New Roman" w:cs="Times New Roman"/>
          <w:sz w:val="26"/>
          <w:szCs w:val="26"/>
        </w:rPr>
        <w:t xml:space="preserve">Os preços ofertados, tanto na proposta inicial, quanto na etapa de lances, serão de exclusiva responsabilidade do Licitante. </w:t>
      </w:r>
    </w:p>
    <w:p w14:paraId="74127E29"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8.5. </w:t>
      </w:r>
      <w:r>
        <w:rPr>
          <w:rFonts w:ascii="Times New Roman" w:eastAsia="Times New Roman" w:hAnsi="Times New Roman" w:cs="Times New Roman"/>
          <w:sz w:val="26"/>
          <w:szCs w:val="26"/>
        </w:rPr>
        <w:t xml:space="preserve">O prazo de validade da proposta não será inferior a 60 (sessenta) dias, a contar da data de sua apresentação. </w:t>
      </w:r>
    </w:p>
    <w:p w14:paraId="047EE15C"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129840A5"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9. DO ENCAMINHAMENTO DA PROPOSTA VENCEDORA E SEUS REQUISITOS</w:t>
      </w:r>
      <w:r>
        <w:rPr>
          <w:rFonts w:ascii="Times New Roman" w:eastAsia="Times New Roman" w:hAnsi="Times New Roman" w:cs="Times New Roman"/>
          <w:sz w:val="26"/>
          <w:szCs w:val="26"/>
        </w:rPr>
        <w:t xml:space="preserve"> </w:t>
      </w:r>
    </w:p>
    <w:p w14:paraId="75F4B296"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9.1.</w:t>
      </w:r>
      <w:r>
        <w:rPr>
          <w:rFonts w:ascii="Times New Roman" w:eastAsia="Times New Roman" w:hAnsi="Times New Roman" w:cs="Times New Roman"/>
          <w:sz w:val="26"/>
          <w:szCs w:val="26"/>
        </w:rPr>
        <w:t xml:space="preserve"> A proposta reajustada final do Licitante declarado vencedor deverá ser encaminhada no prazo de 02 (duas) horas, a contar da solicitação do(a) Pregoeiro(a) no sistema eletrônico. </w:t>
      </w:r>
    </w:p>
    <w:p w14:paraId="47740A9F"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9.2. </w:t>
      </w:r>
      <w:r>
        <w:rPr>
          <w:rFonts w:ascii="Times New Roman" w:eastAsia="Times New Roman" w:hAnsi="Times New Roman" w:cs="Times New Roman"/>
          <w:sz w:val="26"/>
          <w:szCs w:val="26"/>
        </w:rPr>
        <w:t>O não cumprimento das exigências dispostas no</w:t>
      </w:r>
      <w:r>
        <w:rPr>
          <w:rFonts w:ascii="Times New Roman" w:eastAsia="Times New Roman" w:hAnsi="Times New Roman" w:cs="Times New Roman"/>
          <w:color w:val="FF0000"/>
          <w:sz w:val="26"/>
          <w:szCs w:val="26"/>
        </w:rPr>
        <w:t xml:space="preserve"> </w:t>
      </w:r>
      <w:r>
        <w:rPr>
          <w:rFonts w:ascii="Times New Roman" w:eastAsia="Times New Roman" w:hAnsi="Times New Roman" w:cs="Times New Roman"/>
          <w:sz w:val="26"/>
          <w:szCs w:val="26"/>
        </w:rPr>
        <w:t>item acima (9.1)</w:t>
      </w:r>
      <w:r>
        <w:rPr>
          <w:rFonts w:ascii="Times New Roman" w:eastAsia="Times New Roman" w:hAnsi="Times New Roman" w:cs="Times New Roman"/>
          <w:color w:val="FF0000"/>
          <w:sz w:val="26"/>
          <w:szCs w:val="26"/>
        </w:rPr>
        <w:t xml:space="preserve"> </w:t>
      </w:r>
      <w:r>
        <w:rPr>
          <w:rFonts w:ascii="Times New Roman" w:eastAsia="Times New Roman" w:hAnsi="Times New Roman" w:cs="Times New Roman"/>
          <w:sz w:val="26"/>
          <w:szCs w:val="26"/>
        </w:rPr>
        <w:t xml:space="preserve">poderá, ficando a decisão a critério da Administração, ocasionar a desclassificação do Licitante declarado vencedor, por descumprimento de comprovação de condições do edital. </w:t>
      </w:r>
    </w:p>
    <w:p w14:paraId="49C83F6A"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9.3. </w:t>
      </w:r>
      <w:r>
        <w:rPr>
          <w:rFonts w:ascii="Times New Roman" w:eastAsia="Times New Roman" w:hAnsi="Times New Roman" w:cs="Times New Roman"/>
          <w:sz w:val="26"/>
          <w:szCs w:val="26"/>
        </w:rPr>
        <w:t xml:space="preserve">Deverá ser elaborada preferencialmente em papel timbrado da empresa e redigida em língua portuguesa, salvo quanto às expressões técnicas de uso corrente, com suas páginas numeradas sequencialmente, sem rasuras, emendas, borrões e/ou entrelinhas e, ainda, devendo ser a(s) folha(s) rubricada(s), datada e assinada pelo representante legal do Licitante ou por procurador legítimo e legalmente constituído. </w:t>
      </w:r>
    </w:p>
    <w:p w14:paraId="2235B48E"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9.4. </w:t>
      </w:r>
      <w:r>
        <w:rPr>
          <w:rFonts w:ascii="Times New Roman" w:eastAsia="Times New Roman" w:hAnsi="Times New Roman" w:cs="Times New Roman"/>
          <w:sz w:val="26"/>
          <w:szCs w:val="26"/>
        </w:rPr>
        <w:t xml:space="preserve">Constar em seu inteiro teor: </w:t>
      </w:r>
    </w:p>
    <w:p w14:paraId="015C6669"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9.4.1. </w:t>
      </w:r>
      <w:r>
        <w:rPr>
          <w:rFonts w:ascii="Times New Roman" w:eastAsia="Times New Roman" w:hAnsi="Times New Roman" w:cs="Times New Roman"/>
          <w:sz w:val="26"/>
          <w:szCs w:val="26"/>
        </w:rPr>
        <w:t xml:space="preserve">razão Social, endereço completo, telefone/fax, e-mail, CNPJ e inscrição estadual ou municipal da empresa detentora da melhor proposta; </w:t>
      </w:r>
    </w:p>
    <w:p w14:paraId="50D16DCF"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9.4.2. </w:t>
      </w:r>
      <w:r>
        <w:rPr>
          <w:rFonts w:ascii="Times New Roman" w:eastAsia="Times New Roman" w:hAnsi="Times New Roman" w:cs="Times New Roman"/>
          <w:sz w:val="26"/>
          <w:szCs w:val="26"/>
        </w:rPr>
        <w:t xml:space="preserve">número do Processo e do Pregão na forma Eletrônica; </w:t>
      </w:r>
    </w:p>
    <w:p w14:paraId="0D6E89BA"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9.4.3. </w:t>
      </w:r>
      <w:r>
        <w:rPr>
          <w:rFonts w:ascii="Times New Roman" w:eastAsia="Times New Roman" w:hAnsi="Times New Roman" w:cs="Times New Roman"/>
          <w:sz w:val="26"/>
          <w:szCs w:val="26"/>
        </w:rPr>
        <w:t xml:space="preserve">descrição, de forma clara e completa, dos ITENS objeto desta licitação a qual a empresa foi vencedora, readequada com o novo valor, em conformidade com as especificações deste Edital; </w:t>
      </w:r>
    </w:p>
    <w:p w14:paraId="64A6563F"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9.4.4. </w:t>
      </w:r>
      <w:r>
        <w:rPr>
          <w:rFonts w:ascii="Times New Roman" w:eastAsia="Times New Roman" w:hAnsi="Times New Roman" w:cs="Times New Roman"/>
          <w:sz w:val="26"/>
          <w:szCs w:val="26"/>
        </w:rPr>
        <w:t>definição dos ITENS, contendo Marca e modelo dos produtos;</w:t>
      </w:r>
    </w:p>
    <w:p w14:paraId="5C479922"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9.4.5. </w:t>
      </w:r>
      <w:r>
        <w:rPr>
          <w:rFonts w:ascii="Times New Roman" w:eastAsia="Times New Roman" w:hAnsi="Times New Roman" w:cs="Times New Roman"/>
          <w:sz w:val="26"/>
          <w:szCs w:val="26"/>
        </w:rPr>
        <w:t xml:space="preserve">preço unitário e total de cada ITEM, do LOTE e valor total da Proposta em moeda corrente nacional, em algarismo e preferencialmente por extenso, sem inclusão de qualquer encargo financeiro ou previsão inflacionária com até duas casas decimais após a vírgula. Nos preços deverão estar inclusos além do lucro, todas as despesas e custos operacionais, tais como: transporte (inclusive frete), encargos previdenciários, trabalhistas, tributários, comerciais, seguro contra todos os riscos existentes, garantia e quaisquer outros que incidam direta ou indiretamente no fornecimento dos bens, sendo que aqueles que não forem transcritos, serão considerados como já constantes; </w:t>
      </w:r>
    </w:p>
    <w:p w14:paraId="41CA9CEC"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9.4.6. </w:t>
      </w:r>
      <w:r>
        <w:rPr>
          <w:rFonts w:ascii="Times New Roman" w:eastAsia="Times New Roman" w:hAnsi="Times New Roman" w:cs="Times New Roman"/>
          <w:sz w:val="26"/>
          <w:szCs w:val="26"/>
        </w:rPr>
        <w:t xml:space="preserve">condições de pagamento: o pagamento será em até 10 dias após a entrada do documento fiscal na Câmara; </w:t>
      </w:r>
    </w:p>
    <w:p w14:paraId="14F2CEF9"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color w:val="FF0000"/>
          <w:sz w:val="26"/>
          <w:szCs w:val="26"/>
        </w:rPr>
      </w:pPr>
      <w:r>
        <w:rPr>
          <w:rFonts w:ascii="Times New Roman" w:eastAsia="Times New Roman" w:hAnsi="Times New Roman" w:cs="Times New Roman"/>
          <w:b/>
          <w:sz w:val="26"/>
          <w:szCs w:val="26"/>
        </w:rPr>
        <w:t xml:space="preserve">9.4.7. </w:t>
      </w:r>
      <w:r>
        <w:rPr>
          <w:rFonts w:ascii="Times New Roman" w:eastAsia="Times New Roman" w:hAnsi="Times New Roman" w:cs="Times New Roman"/>
          <w:sz w:val="26"/>
          <w:szCs w:val="26"/>
        </w:rPr>
        <w:t xml:space="preserve">dados bancários (banco, agência, número conta, chave </w:t>
      </w:r>
      <w:proofErr w:type="gramStart"/>
      <w:r>
        <w:rPr>
          <w:rFonts w:ascii="Times New Roman" w:eastAsia="Times New Roman" w:hAnsi="Times New Roman" w:cs="Times New Roman"/>
          <w:sz w:val="26"/>
          <w:szCs w:val="26"/>
        </w:rPr>
        <w:t xml:space="preserve">PIX, </w:t>
      </w:r>
      <w:proofErr w:type="spellStart"/>
      <w:r>
        <w:rPr>
          <w:rFonts w:ascii="Times New Roman" w:eastAsia="Times New Roman" w:hAnsi="Times New Roman" w:cs="Times New Roman"/>
          <w:sz w:val="26"/>
          <w:szCs w:val="26"/>
        </w:rPr>
        <w:t>etc</w:t>
      </w:r>
      <w:proofErr w:type="spellEnd"/>
      <w:proofErr w:type="gramEnd"/>
      <w:r>
        <w:rPr>
          <w:rFonts w:ascii="Times New Roman" w:eastAsia="Times New Roman" w:hAnsi="Times New Roman" w:cs="Times New Roman"/>
          <w:sz w:val="26"/>
          <w:szCs w:val="26"/>
        </w:rPr>
        <w:t>);</w:t>
      </w:r>
    </w:p>
    <w:p w14:paraId="41FAD3A4"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9.4.8. </w:t>
      </w:r>
      <w:r>
        <w:rPr>
          <w:rFonts w:ascii="Times New Roman" w:eastAsia="Times New Roman" w:hAnsi="Times New Roman" w:cs="Times New Roman"/>
          <w:sz w:val="26"/>
          <w:szCs w:val="26"/>
        </w:rPr>
        <w:t xml:space="preserve">prazo para entrega dos equipamentos: 20 dias após a emissão da ordem de compra, de acordo com o Termo de Referência – Anexo I, após solicitação através da Nota de Empenho. </w:t>
      </w:r>
    </w:p>
    <w:p w14:paraId="4E96025C"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9.4.9. </w:t>
      </w:r>
      <w:r>
        <w:rPr>
          <w:rFonts w:ascii="Times New Roman" w:eastAsia="Times New Roman" w:hAnsi="Times New Roman" w:cs="Times New Roman"/>
          <w:sz w:val="26"/>
          <w:szCs w:val="26"/>
        </w:rPr>
        <w:t>Declaração de que cumpre plenamente os requisitos de habilitação e os itens do Edital.</w:t>
      </w:r>
    </w:p>
    <w:p w14:paraId="6BE55DB5"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9.4.10. </w:t>
      </w:r>
      <w:r>
        <w:rPr>
          <w:rFonts w:ascii="Times New Roman" w:eastAsia="Times New Roman" w:hAnsi="Times New Roman" w:cs="Times New Roman"/>
          <w:sz w:val="26"/>
          <w:szCs w:val="26"/>
        </w:rPr>
        <w:t xml:space="preserve">qualificação do(a) responsável pela(s) empresa(s) Licitante(s) vencedora(s), constando nome completo, cargo, CPF, nº da cédula de identidade (RG), órgão e Estado emissor, data de nascimento, endereço residencial completo, e-mail </w:t>
      </w:r>
      <w:r>
        <w:rPr>
          <w:rFonts w:ascii="Times New Roman" w:eastAsia="Times New Roman" w:hAnsi="Times New Roman" w:cs="Times New Roman"/>
          <w:sz w:val="26"/>
          <w:szCs w:val="26"/>
        </w:rPr>
        <w:lastRenderedPageBreak/>
        <w:t xml:space="preserve">institucional, e-mail pessoal e telefone(s), para fins de exigências relacionadas a AUDESP. </w:t>
      </w:r>
    </w:p>
    <w:p w14:paraId="5948E43C"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9.5. </w:t>
      </w:r>
      <w:r>
        <w:rPr>
          <w:rFonts w:ascii="Times New Roman" w:eastAsia="Times New Roman" w:hAnsi="Times New Roman" w:cs="Times New Roman"/>
          <w:sz w:val="26"/>
          <w:szCs w:val="26"/>
        </w:rPr>
        <w:t xml:space="preserve">Serão rejeitadas as propostas que: </w:t>
      </w:r>
    </w:p>
    <w:p w14:paraId="5C68B8D2"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9.5.1. </w:t>
      </w:r>
      <w:r>
        <w:rPr>
          <w:rFonts w:ascii="Times New Roman" w:eastAsia="Times New Roman" w:hAnsi="Times New Roman" w:cs="Times New Roman"/>
          <w:sz w:val="26"/>
          <w:szCs w:val="26"/>
        </w:rPr>
        <w:t xml:space="preserve">Estejam incompletas, isto é, não contenham informações suficientes que permitam a perfeita identificação do objeto licitado; </w:t>
      </w:r>
    </w:p>
    <w:p w14:paraId="38874720"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9.5.2. </w:t>
      </w:r>
      <w:r>
        <w:rPr>
          <w:rFonts w:ascii="Times New Roman" w:eastAsia="Times New Roman" w:hAnsi="Times New Roman" w:cs="Times New Roman"/>
          <w:sz w:val="26"/>
          <w:szCs w:val="26"/>
        </w:rPr>
        <w:t xml:space="preserve">Contiverem qualquer limitação ou condição substancialmente contrastante com o presente Edital; </w:t>
      </w:r>
    </w:p>
    <w:p w14:paraId="38C0739D"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9.6. </w:t>
      </w:r>
      <w:r>
        <w:rPr>
          <w:rFonts w:ascii="Times New Roman" w:eastAsia="Times New Roman" w:hAnsi="Times New Roman" w:cs="Times New Roman"/>
          <w:sz w:val="26"/>
          <w:szCs w:val="26"/>
        </w:rPr>
        <w:t>Ocorrendo discordância entre os valores numéricos e por extenso, prevalecerão estes últimos que não atenderem às especificações, prazos e condições, inclusive no que tange à descrição dos ITENS, fixados neste Edital.</w:t>
      </w:r>
    </w:p>
    <w:p w14:paraId="4A201178"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4B4B14B7"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10. DO PREENCHIMENTO DA PROPOSTA</w:t>
      </w:r>
      <w:r>
        <w:rPr>
          <w:rFonts w:ascii="Times New Roman" w:eastAsia="Times New Roman" w:hAnsi="Times New Roman" w:cs="Times New Roman"/>
          <w:sz w:val="26"/>
          <w:szCs w:val="26"/>
        </w:rPr>
        <w:t xml:space="preserve"> </w:t>
      </w:r>
    </w:p>
    <w:p w14:paraId="1A668E71"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10.1. </w:t>
      </w:r>
      <w:r>
        <w:rPr>
          <w:rFonts w:ascii="Times New Roman" w:eastAsia="Times New Roman" w:hAnsi="Times New Roman" w:cs="Times New Roman"/>
          <w:sz w:val="26"/>
          <w:szCs w:val="26"/>
        </w:rPr>
        <w:t xml:space="preserve">O licitante deverá enviar sua proposta mediante o preenchimento, no sistema eletrônico, dos seguintes campos: </w:t>
      </w:r>
    </w:p>
    <w:p w14:paraId="6B735658" w14:textId="77777777" w:rsidR="00A05AD3" w:rsidRDefault="00000000">
      <w:pPr>
        <w:numPr>
          <w:ilvl w:val="0"/>
          <w:numId w:val="2"/>
        </w:numPr>
        <w:pBdr>
          <w:top w:val="none" w:sz="0" w:space="0" w:color="000000"/>
          <w:bottom w:val="none" w:sz="0" w:space="0" w:color="000000"/>
          <w:right w:val="none" w:sz="0" w:space="0" w:color="000000"/>
          <w:between w:val="none" w:sz="0" w:space="0" w:color="000000"/>
        </w:pBd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valor unitário ou desconto...... (mensal, unitário etc., conforme o caso) e (anual, total) </w:t>
      </w:r>
    </w:p>
    <w:p w14:paraId="42C4713E" w14:textId="77777777" w:rsidR="00A05AD3" w:rsidRDefault="00000000">
      <w:pPr>
        <w:numPr>
          <w:ilvl w:val="0"/>
          <w:numId w:val="2"/>
        </w:numPr>
        <w:pBdr>
          <w:top w:val="none" w:sz="0" w:space="0" w:color="000000"/>
          <w:bottom w:val="none" w:sz="0" w:space="0" w:color="000000"/>
          <w:right w:val="none" w:sz="0" w:space="0" w:color="000000"/>
          <w:between w:val="none" w:sz="0" w:space="0" w:color="000000"/>
        </w:pBd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valor do item; </w:t>
      </w:r>
    </w:p>
    <w:p w14:paraId="05393A5C" w14:textId="77777777" w:rsidR="00A05AD3" w:rsidRDefault="00000000">
      <w:pPr>
        <w:numPr>
          <w:ilvl w:val="0"/>
          <w:numId w:val="2"/>
        </w:numPr>
        <w:pBdr>
          <w:top w:val="none" w:sz="0" w:space="0" w:color="000000"/>
          <w:bottom w:val="none" w:sz="0" w:space="0" w:color="000000"/>
          <w:right w:val="none" w:sz="0" w:space="0" w:color="000000"/>
          <w:between w:val="none" w:sz="0" w:space="0" w:color="000000"/>
        </w:pBd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Quantidade cotada, devendo respeitar o mínimo de ......  </w:t>
      </w:r>
    </w:p>
    <w:p w14:paraId="7F807EEF"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10.2. </w:t>
      </w:r>
      <w:r>
        <w:rPr>
          <w:rFonts w:ascii="Times New Roman" w:eastAsia="Times New Roman" w:hAnsi="Times New Roman" w:cs="Times New Roman"/>
          <w:sz w:val="26"/>
          <w:szCs w:val="26"/>
        </w:rPr>
        <w:t xml:space="preserve">Todas as especificações do objeto contidas na proposta vinculam o licitante. </w:t>
      </w:r>
    </w:p>
    <w:p w14:paraId="7F929AC5"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10.3. </w:t>
      </w:r>
      <w:r>
        <w:rPr>
          <w:rFonts w:ascii="Times New Roman" w:eastAsia="Times New Roman" w:hAnsi="Times New Roman" w:cs="Times New Roman"/>
          <w:sz w:val="26"/>
          <w:szCs w:val="26"/>
        </w:rPr>
        <w:t xml:space="preserve">O licitante não poderá oferecer proposta em quantitativo inferior ao máximo previsto para contratação. </w:t>
      </w:r>
    </w:p>
    <w:p w14:paraId="364872D3"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10.4. </w:t>
      </w:r>
      <w:r>
        <w:rPr>
          <w:rFonts w:ascii="Times New Roman" w:eastAsia="Times New Roman" w:hAnsi="Times New Roman" w:cs="Times New Roman"/>
          <w:sz w:val="26"/>
          <w:szCs w:val="26"/>
        </w:rPr>
        <w:t xml:space="preserve">Nos valores propostos estarão inclusos todos os custos operacionais, encargos previdenciários, trabalhistas, tributários, comerciais e quaisquer outros que incidam direta ou indiretamente na execução do objeto. </w:t>
      </w:r>
    </w:p>
    <w:p w14:paraId="1469DADA"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10.5</w:t>
      </w:r>
      <w:r>
        <w:rPr>
          <w:rFonts w:ascii="Times New Roman" w:eastAsia="Times New Roman" w:hAnsi="Times New Roman" w:cs="Times New Roman"/>
          <w:sz w:val="26"/>
          <w:szCs w:val="26"/>
        </w:rPr>
        <w:t xml:space="preserve"> Os preços ofertados, tanto na proposta inicial, quanto na etapa de lances, serão de exclusiva responsabilidade do licitante, não lhe assistindo o direito de pleitear qualquer alteração, sob alegação de erro, omissão ou qualquer outro pretexto. </w:t>
      </w:r>
    </w:p>
    <w:p w14:paraId="3BFD9AA3"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10.6</w:t>
      </w:r>
      <w:r>
        <w:rPr>
          <w:rFonts w:ascii="Times New Roman" w:eastAsia="Times New Roman" w:hAnsi="Times New Roman" w:cs="Times New Roman"/>
          <w:sz w:val="26"/>
          <w:szCs w:val="26"/>
        </w:rPr>
        <w:t xml:space="preserve"> Se o regime tributário da empresa implicar no recolhimento de tributos em percentuais variáveis, a cotação adequada será a que corresponde à média dos efetivos recolhimentos da empresa nos últimos doze meses. </w:t>
      </w:r>
    </w:p>
    <w:p w14:paraId="0B2236F6"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10.7</w:t>
      </w:r>
      <w:r>
        <w:rPr>
          <w:rFonts w:ascii="Times New Roman" w:eastAsia="Times New Roman" w:hAnsi="Times New Roman" w:cs="Times New Roman"/>
          <w:sz w:val="26"/>
          <w:szCs w:val="26"/>
        </w:rPr>
        <w:t xml:space="preserve"> Independentemente do percentual de tributo inserido na planilha, no pagamento serão retidos na fonte os percentuais estabelecidos na legislação vigente. </w:t>
      </w:r>
    </w:p>
    <w:p w14:paraId="3AA32361"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10.8</w:t>
      </w:r>
      <w:r>
        <w:rPr>
          <w:rFonts w:ascii="Times New Roman" w:eastAsia="Times New Roman" w:hAnsi="Times New Roman" w:cs="Times New Roman"/>
          <w:sz w:val="26"/>
          <w:szCs w:val="26"/>
        </w:rPr>
        <w:t xml:space="preserve"> Na presente licitação, a Microempresa e a Empresa de Pequeno Porte poderão se beneficiar do regime de tributação pelo Simples Nacional. </w:t>
      </w:r>
    </w:p>
    <w:p w14:paraId="1F9119EE"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10.9 </w:t>
      </w:r>
      <w:r>
        <w:rPr>
          <w:rFonts w:ascii="Times New Roman" w:eastAsia="Times New Roman" w:hAnsi="Times New Roman" w:cs="Times New Roman"/>
          <w:sz w:val="26"/>
          <w:szCs w:val="26"/>
        </w:rPr>
        <w:t xml:space="preserve">A apresentação das propostas implica obrigatoriedade do cumprimento das disposições nelas contidas, em conformidade com o que dispõe o Termo de Referência, assumindo o proponente o compromisso de executar o objeto licitado nos seus termos, bem como de fornecer os materiais, equipamentos, ferramentas e utensílios necessários, em quantidades e qualidades adequadas à perfeita execução contratual, promovendo, </w:t>
      </w:r>
      <w:r>
        <w:rPr>
          <w:rFonts w:ascii="Times New Roman" w:eastAsia="Times New Roman" w:hAnsi="Times New Roman" w:cs="Times New Roman"/>
          <w:sz w:val="26"/>
          <w:szCs w:val="26"/>
        </w:rPr>
        <w:lastRenderedPageBreak/>
        <w:t xml:space="preserve">quando requerido, sua substituição. </w:t>
      </w:r>
      <w:r>
        <w:rPr>
          <w:rFonts w:ascii="Times New Roman" w:eastAsia="Times New Roman" w:hAnsi="Times New Roman" w:cs="Times New Roman"/>
          <w:sz w:val="26"/>
          <w:szCs w:val="26"/>
        </w:rPr>
        <w:br/>
      </w:r>
      <w:r>
        <w:rPr>
          <w:rFonts w:ascii="Times New Roman" w:eastAsia="Times New Roman" w:hAnsi="Times New Roman" w:cs="Times New Roman"/>
          <w:b/>
          <w:sz w:val="26"/>
          <w:szCs w:val="26"/>
        </w:rPr>
        <w:t xml:space="preserve">10.10 </w:t>
      </w:r>
      <w:r>
        <w:rPr>
          <w:rFonts w:ascii="Times New Roman" w:eastAsia="Times New Roman" w:hAnsi="Times New Roman" w:cs="Times New Roman"/>
          <w:sz w:val="26"/>
          <w:szCs w:val="26"/>
        </w:rPr>
        <w:t xml:space="preserve">Os licitantes devem respeitar os preços máximos estabelecidos nas normas de regência de contratações públicas federais quando participarem de licitações públicas; </w:t>
      </w:r>
    </w:p>
    <w:p w14:paraId="1C9C8333"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10.11</w:t>
      </w:r>
      <w:r>
        <w:rPr>
          <w:rFonts w:ascii="Times New Roman" w:eastAsia="Times New Roman" w:hAnsi="Times New Roman" w:cs="Times New Roman"/>
          <w:sz w:val="26"/>
          <w:szCs w:val="26"/>
        </w:rPr>
        <w:t xml:space="preserve"> O descumprimento das regras supramencionadas pela Administração por parte dos contratados pode ensejar a responsabilização pelo Tribunal de Contas,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sobrepreço na aquisição de bens e produtos. </w:t>
      </w:r>
    </w:p>
    <w:p w14:paraId="3B61F6CC"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3845BD96"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 DA ABERTURA DA SESSÃO, CLASSIFICAÇÃO DAS PROPOSTAS E FORMULAÇÃO DE LANCES</w:t>
      </w:r>
      <w:r>
        <w:rPr>
          <w:rFonts w:ascii="Times New Roman" w:eastAsia="Times New Roman" w:hAnsi="Times New Roman" w:cs="Times New Roman"/>
          <w:sz w:val="26"/>
          <w:szCs w:val="26"/>
        </w:rPr>
        <w:t xml:space="preserve"> </w:t>
      </w:r>
    </w:p>
    <w:p w14:paraId="6686F649"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62A343B5"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11.1</w:t>
      </w:r>
      <w:r>
        <w:rPr>
          <w:rFonts w:ascii="Times New Roman" w:eastAsia="Times New Roman" w:hAnsi="Times New Roman" w:cs="Times New Roman"/>
          <w:sz w:val="26"/>
          <w:szCs w:val="26"/>
        </w:rPr>
        <w:t xml:space="preserve"> A abertura da presente licitação dar-se-á automaticamente em sessão pública, por meio de sistema eletrônico, na data, horário e local indicados neste Edital. </w:t>
      </w:r>
    </w:p>
    <w:p w14:paraId="2C6953E4"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11.2 </w:t>
      </w:r>
      <w:r>
        <w:rPr>
          <w:rFonts w:ascii="Times New Roman" w:eastAsia="Times New Roman" w:hAnsi="Times New Roman" w:cs="Times New Roman"/>
          <w:sz w:val="26"/>
          <w:szCs w:val="26"/>
        </w:rPr>
        <w:t xml:space="preserve">Os licitantes poderão retirar ou substituir a proposta ou os documentos de habilitação, quando for o caso, anteriormente inseridos no sistema, até a abertura da sessão pública. </w:t>
      </w:r>
    </w:p>
    <w:p w14:paraId="5FC42333"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11.3</w:t>
      </w:r>
      <w:r>
        <w:rPr>
          <w:rFonts w:ascii="Times New Roman" w:eastAsia="Times New Roman" w:hAnsi="Times New Roman" w:cs="Times New Roman"/>
          <w:sz w:val="26"/>
          <w:szCs w:val="26"/>
        </w:rPr>
        <w:t xml:space="preserve"> O sistema disponibilizará campo próprio para troca de mensagens entre o Pregoeiro e os licitantes. </w:t>
      </w:r>
    </w:p>
    <w:p w14:paraId="02873F69"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11.4</w:t>
      </w:r>
      <w:r>
        <w:rPr>
          <w:rFonts w:ascii="Times New Roman" w:eastAsia="Times New Roman" w:hAnsi="Times New Roman" w:cs="Times New Roman"/>
          <w:sz w:val="26"/>
          <w:szCs w:val="26"/>
        </w:rPr>
        <w:t xml:space="preserve"> Iniciada a etapa competitiva, os licitantes deverão encaminhar lances exclusivamente por meio de sistema eletrônico, sendo imediatamente informados do seu recebimento e do valor consignado no registro. </w:t>
      </w:r>
    </w:p>
    <w:p w14:paraId="1998577E"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11.5</w:t>
      </w:r>
      <w:r>
        <w:rPr>
          <w:rFonts w:ascii="Times New Roman" w:eastAsia="Times New Roman" w:hAnsi="Times New Roman" w:cs="Times New Roman"/>
          <w:sz w:val="26"/>
          <w:szCs w:val="26"/>
        </w:rPr>
        <w:t xml:space="preserve"> O lance deverá ser ofertado pelo valor global de cada lote. </w:t>
      </w:r>
    </w:p>
    <w:p w14:paraId="04614709"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11.6</w:t>
      </w:r>
      <w:r>
        <w:rPr>
          <w:rFonts w:ascii="Times New Roman" w:eastAsia="Times New Roman" w:hAnsi="Times New Roman" w:cs="Times New Roman"/>
          <w:sz w:val="26"/>
          <w:szCs w:val="26"/>
        </w:rPr>
        <w:t xml:space="preserve"> Os licitantes poderão oferecer lances sucessivos, observando o horário fixado para abertura da sessão e as regras estabelecidas no Edital. </w:t>
      </w:r>
    </w:p>
    <w:p w14:paraId="22EEC89D"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11.7</w:t>
      </w:r>
      <w:r>
        <w:rPr>
          <w:rFonts w:ascii="Times New Roman" w:eastAsia="Times New Roman" w:hAnsi="Times New Roman" w:cs="Times New Roman"/>
          <w:sz w:val="26"/>
          <w:szCs w:val="26"/>
        </w:rPr>
        <w:t xml:space="preserve"> O licitante somente poderá oferecer lance de valor inferior ou percentual de desconto superior ao último por ele ofertado e registrado pelo sistema. </w:t>
      </w:r>
    </w:p>
    <w:p w14:paraId="3D92E62F"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11.8</w:t>
      </w:r>
      <w:r>
        <w:rPr>
          <w:rFonts w:ascii="Times New Roman" w:eastAsia="Times New Roman" w:hAnsi="Times New Roman" w:cs="Times New Roman"/>
          <w:sz w:val="26"/>
          <w:szCs w:val="26"/>
        </w:rPr>
        <w:t xml:space="preserve"> O intervalo mínimo de diferença de valores ou percentuais entre os lances, que incidirá tanto em relação aos lances intermediários quanto em relação à proposta que cobrir a melhor oferta deverá ser de</w:t>
      </w:r>
      <w:r>
        <w:rPr>
          <w:rFonts w:ascii="Times New Roman" w:eastAsia="Times New Roman" w:hAnsi="Times New Roman" w:cs="Times New Roman"/>
          <w:b/>
          <w:sz w:val="26"/>
          <w:szCs w:val="26"/>
        </w:rPr>
        <w:t xml:space="preserve"> R$100,00 (cem reais)</w:t>
      </w:r>
      <w:r>
        <w:rPr>
          <w:rFonts w:ascii="Times New Roman" w:eastAsia="Times New Roman" w:hAnsi="Times New Roman" w:cs="Times New Roman"/>
          <w:sz w:val="26"/>
          <w:szCs w:val="26"/>
        </w:rPr>
        <w:t xml:space="preserve">. </w:t>
      </w:r>
    </w:p>
    <w:p w14:paraId="479566ED"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11.9</w:t>
      </w:r>
      <w:r>
        <w:rPr>
          <w:rFonts w:ascii="Times New Roman" w:eastAsia="Times New Roman" w:hAnsi="Times New Roman" w:cs="Times New Roman"/>
          <w:sz w:val="26"/>
          <w:szCs w:val="26"/>
        </w:rPr>
        <w:t xml:space="preserve"> O licitante poderá, uma única vez, excluir seu último lance ofertado, no intervalo de quinze segundos após o registro no sistema, na hipótese de lance inconsistente ou </w:t>
      </w:r>
      <w:r>
        <w:rPr>
          <w:rFonts w:ascii="Times New Roman" w:eastAsia="Times New Roman" w:hAnsi="Times New Roman" w:cs="Times New Roman"/>
          <w:b/>
          <w:sz w:val="26"/>
          <w:szCs w:val="26"/>
        </w:rPr>
        <w:t xml:space="preserve">inexequível. </w:t>
      </w:r>
    </w:p>
    <w:p w14:paraId="499A615F"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11.10</w:t>
      </w:r>
      <w:r>
        <w:rPr>
          <w:rFonts w:ascii="Times New Roman" w:eastAsia="Times New Roman" w:hAnsi="Times New Roman" w:cs="Times New Roman"/>
          <w:sz w:val="26"/>
          <w:szCs w:val="26"/>
        </w:rPr>
        <w:t xml:space="preserve"> O procedimento seguirá de acordo com o modo de disputa aberto, nos termos previstos no item 7 e seguintes deste edital. </w:t>
      </w:r>
    </w:p>
    <w:p w14:paraId="42965A18"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11.11</w:t>
      </w:r>
      <w:r>
        <w:rPr>
          <w:rFonts w:ascii="Times New Roman" w:eastAsia="Times New Roman" w:hAnsi="Times New Roman" w:cs="Times New Roman"/>
          <w:sz w:val="26"/>
          <w:szCs w:val="26"/>
        </w:rPr>
        <w:t xml:space="preserve"> Não serão aceitos dois ou mais lances de mesmo valor, prevalecendo aquele que for recebido e registrado em primeiro lugar. </w:t>
      </w:r>
    </w:p>
    <w:p w14:paraId="1D0B29BB"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11.12</w:t>
      </w:r>
      <w:r>
        <w:rPr>
          <w:rFonts w:ascii="Times New Roman" w:eastAsia="Times New Roman" w:hAnsi="Times New Roman" w:cs="Times New Roman"/>
          <w:sz w:val="26"/>
          <w:szCs w:val="26"/>
        </w:rPr>
        <w:t xml:space="preserve"> Durante o transcurso da sessão pública, os licitantes serão informados, em tempo real, do valor do menor lance registrado, vedada a identificação do licitante. </w:t>
      </w:r>
    </w:p>
    <w:p w14:paraId="504CAAB2"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11.13</w:t>
      </w:r>
      <w:r>
        <w:rPr>
          <w:rFonts w:ascii="Times New Roman" w:eastAsia="Times New Roman" w:hAnsi="Times New Roman" w:cs="Times New Roman"/>
          <w:sz w:val="26"/>
          <w:szCs w:val="26"/>
        </w:rPr>
        <w:t xml:space="preserve"> No caso de desconexão com o Pregoeiro, no decorrer da etapa competitiva do Pregão, o sistema eletrônico poderá permanecer acessível aos licitantes para a recepção dos lances. </w:t>
      </w:r>
    </w:p>
    <w:p w14:paraId="283D5E9C"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11.14 </w:t>
      </w:r>
      <w:r>
        <w:rPr>
          <w:rFonts w:ascii="Times New Roman" w:eastAsia="Times New Roman" w:hAnsi="Times New Roman" w:cs="Times New Roman"/>
          <w:sz w:val="26"/>
          <w:szCs w:val="26"/>
        </w:rPr>
        <w:t xml:space="preserve">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 </w:t>
      </w:r>
    </w:p>
    <w:p w14:paraId="55634862"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11.15</w:t>
      </w:r>
      <w:r>
        <w:rPr>
          <w:rFonts w:ascii="Times New Roman" w:eastAsia="Times New Roman" w:hAnsi="Times New Roman" w:cs="Times New Roman"/>
          <w:sz w:val="26"/>
          <w:szCs w:val="26"/>
        </w:rPr>
        <w:t xml:space="preserve"> Caso o licitante não apresente lances, concorrerá com o valor de sua proposta. </w:t>
      </w:r>
    </w:p>
    <w:p w14:paraId="5CDCBCE7"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11.16</w:t>
      </w:r>
      <w:r>
        <w:rPr>
          <w:rFonts w:ascii="Times New Roman" w:eastAsia="Times New Roman" w:hAnsi="Times New Roman" w:cs="Times New Roman"/>
          <w:sz w:val="26"/>
          <w:szCs w:val="26"/>
        </w:rPr>
        <w:t xml:space="preserve"> Em relação a itens não exclusivos para participação de microempresas e empresas de pequeno porte, uma vez encerrada a etapa de lances, será efetivada a verificação automática, junto à Receita Federal, do porte da entidade empresarial. </w:t>
      </w:r>
      <w:r>
        <w:rPr>
          <w:rFonts w:ascii="Times New Roman" w:eastAsia="Times New Roman" w:hAnsi="Times New Roman" w:cs="Times New Roman"/>
          <w:b/>
          <w:sz w:val="26"/>
          <w:szCs w:val="26"/>
        </w:rPr>
        <w:t>11.17</w:t>
      </w:r>
      <w:r>
        <w:rPr>
          <w:rFonts w:ascii="Times New Roman" w:eastAsia="Times New Roman" w:hAnsi="Times New Roman" w:cs="Times New Roman"/>
          <w:sz w:val="26"/>
          <w:szCs w:val="26"/>
        </w:rPr>
        <w:t xml:space="preserve"> O sistema identificará em coluna própria as microempresas e empresas de pequeno porte participantes, procedendo à comparação com os valores da primeira colocada, se esta for empresa de maior porte, assim como das demais classificadas, para o fim de aplicar-se o disposto nos arts. 44 e 45 da Lei Complementar nº 123, de 2006, regulamentada pelo Decreto nº 8.538, de 2015. </w:t>
      </w:r>
    </w:p>
    <w:p w14:paraId="1B47D9F0"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11.17.1 </w:t>
      </w:r>
      <w:r>
        <w:rPr>
          <w:rFonts w:ascii="Times New Roman" w:eastAsia="Times New Roman" w:hAnsi="Times New Roman" w:cs="Times New Roman"/>
          <w:sz w:val="26"/>
          <w:szCs w:val="26"/>
        </w:rPr>
        <w:t xml:space="preserve">Nessas condições, as propostas de microempresas e empresas de pequeno porte que se encontrarem na faixa de até 5% (cinco por cento) acima da melhor proposta ou melhor lance serão consideradas empatadas com a primeira colocada. </w:t>
      </w:r>
    </w:p>
    <w:p w14:paraId="2E8094DF"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11.17.2 </w:t>
      </w:r>
      <w:r>
        <w:rPr>
          <w:rFonts w:ascii="Times New Roman" w:eastAsia="Times New Roman" w:hAnsi="Times New Roman" w:cs="Times New Roman"/>
          <w:sz w:val="26"/>
          <w:szCs w:val="26"/>
        </w:rPr>
        <w:t xml:space="preserve">A </w:t>
      </w:r>
      <w:proofErr w:type="gramStart"/>
      <w:r>
        <w:rPr>
          <w:rFonts w:ascii="Times New Roman" w:eastAsia="Times New Roman" w:hAnsi="Times New Roman" w:cs="Times New Roman"/>
          <w:sz w:val="26"/>
          <w:szCs w:val="26"/>
        </w:rPr>
        <w:t>melhor</w:t>
      </w:r>
      <w:proofErr w:type="gramEnd"/>
      <w:r>
        <w:rPr>
          <w:rFonts w:ascii="Times New Roman" w:eastAsia="Times New Roman" w:hAnsi="Times New Roman" w:cs="Times New Roman"/>
          <w:sz w:val="26"/>
          <w:szCs w:val="26"/>
        </w:rPr>
        <w:t xml:space="preserve"> classificada nos termos do subitem anterior terá o direito de encaminhar uma última oferta para desempate, obrigatoriamente em valor inferior ao da primeira colocada, no prazo de 5 (cinco) minutos controlados pelo sistema, contados após a comunicação automática para tanto. </w:t>
      </w:r>
    </w:p>
    <w:p w14:paraId="15DBE9D5"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11.17.3</w:t>
      </w:r>
      <w:r>
        <w:rPr>
          <w:rFonts w:ascii="Times New Roman" w:eastAsia="Times New Roman" w:hAnsi="Times New Roman" w:cs="Times New Roman"/>
          <w:sz w:val="26"/>
          <w:szCs w:val="26"/>
        </w:rPr>
        <w:t xml:space="preserve">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 </w:t>
      </w:r>
    </w:p>
    <w:p w14:paraId="30A65A69"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11.17.4 </w:t>
      </w:r>
      <w:r>
        <w:rPr>
          <w:rFonts w:ascii="Times New Roman" w:eastAsia="Times New Roman" w:hAnsi="Times New Roman" w:cs="Times New Roman"/>
          <w:sz w:val="26"/>
          <w:szCs w:val="26"/>
        </w:rPr>
        <w:t xml:space="preserve">No caso de equivalência dos valores apresentados pelas microempresas e empresas de pequeno porte que se encontrem nos intervalos estabelecidos nos subitens anteriores, será realizado sorteio entre elas para que se identifique aquela que primeiro poderá apresentar melhor oferta. </w:t>
      </w:r>
    </w:p>
    <w:p w14:paraId="78E7334D"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11.18</w:t>
      </w:r>
      <w:r>
        <w:rPr>
          <w:rFonts w:ascii="Times New Roman" w:eastAsia="Times New Roman" w:hAnsi="Times New Roman" w:cs="Times New Roman"/>
          <w:sz w:val="26"/>
          <w:szCs w:val="26"/>
        </w:rPr>
        <w:t xml:space="preserve"> Havendo eventual empate entre propostas ou lances, o critério de desempate será aquele previsto no art. 60 da Lei nº 14.133, de 2021, nesta ordem: </w:t>
      </w:r>
    </w:p>
    <w:p w14:paraId="58A803E9"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720"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11.18.1</w:t>
      </w:r>
      <w:r>
        <w:rPr>
          <w:rFonts w:ascii="Times New Roman" w:eastAsia="Times New Roman" w:hAnsi="Times New Roman" w:cs="Times New Roman"/>
          <w:sz w:val="26"/>
          <w:szCs w:val="26"/>
        </w:rPr>
        <w:t xml:space="preserve"> disputa final, hipótese em que os licitantes empatados poderão apresentar nova proposta em ato contínuo à classificação; </w:t>
      </w:r>
    </w:p>
    <w:p w14:paraId="40AAF40F"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720"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 xml:space="preserve">11.18.2 </w:t>
      </w:r>
      <w:r>
        <w:rPr>
          <w:rFonts w:ascii="Times New Roman" w:eastAsia="Times New Roman" w:hAnsi="Times New Roman" w:cs="Times New Roman"/>
          <w:sz w:val="26"/>
          <w:szCs w:val="26"/>
        </w:rPr>
        <w:t xml:space="preserve">avaliação do desempenho contratual prévio dos licitantes, para a qual deverão preferencialmente ser utilizados registros cadastrais para efeito de atesto de cumprimento de obrigações previstos nesta Lei; </w:t>
      </w:r>
    </w:p>
    <w:p w14:paraId="7961CB4C"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720"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11.18.3</w:t>
      </w:r>
      <w:r>
        <w:rPr>
          <w:rFonts w:ascii="Times New Roman" w:eastAsia="Times New Roman" w:hAnsi="Times New Roman" w:cs="Times New Roman"/>
          <w:sz w:val="26"/>
          <w:szCs w:val="26"/>
        </w:rPr>
        <w:t xml:space="preserve"> desenvolvimento pelo licitante de ações de equidade entre homens e mulheres no ambiente de trabalho, conforme regulamento; </w:t>
      </w:r>
    </w:p>
    <w:p w14:paraId="37C1195F"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720"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11.18.4 </w:t>
      </w:r>
      <w:r>
        <w:rPr>
          <w:rFonts w:ascii="Times New Roman" w:eastAsia="Times New Roman" w:hAnsi="Times New Roman" w:cs="Times New Roman"/>
          <w:sz w:val="26"/>
          <w:szCs w:val="26"/>
        </w:rPr>
        <w:t xml:space="preserve">desenvolvimento pelo licitante de programa de integridade, conforme orientações dos órgãos de controle. </w:t>
      </w:r>
    </w:p>
    <w:p w14:paraId="05F7279C"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11.19</w:t>
      </w:r>
      <w:r>
        <w:rPr>
          <w:rFonts w:ascii="Times New Roman" w:eastAsia="Times New Roman" w:hAnsi="Times New Roman" w:cs="Times New Roman"/>
          <w:sz w:val="26"/>
          <w:szCs w:val="26"/>
        </w:rPr>
        <w:t xml:space="preserve"> Persistindo o empate, será assegurada preferência, sucessivamente, aos bens e serviços produzidos ou prestados por: </w:t>
      </w:r>
    </w:p>
    <w:p w14:paraId="75B733D5"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11.19.1</w:t>
      </w:r>
      <w:r>
        <w:rPr>
          <w:rFonts w:ascii="Times New Roman" w:eastAsia="Times New Roman" w:hAnsi="Times New Roman" w:cs="Times New Roman"/>
          <w:sz w:val="26"/>
          <w:szCs w:val="26"/>
        </w:rPr>
        <w:t xml:space="preserve"> 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r>
        <w:rPr>
          <w:rFonts w:ascii="Times New Roman" w:eastAsia="Times New Roman" w:hAnsi="Times New Roman" w:cs="Times New Roman"/>
          <w:b/>
          <w:sz w:val="26"/>
          <w:szCs w:val="26"/>
        </w:rPr>
        <w:t>;</w:t>
      </w:r>
      <w:r>
        <w:rPr>
          <w:rFonts w:ascii="Times New Roman" w:eastAsia="Times New Roman" w:hAnsi="Times New Roman" w:cs="Times New Roman"/>
          <w:sz w:val="26"/>
          <w:szCs w:val="26"/>
        </w:rPr>
        <w:t xml:space="preserve"> </w:t>
      </w:r>
    </w:p>
    <w:p w14:paraId="104C5A02"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11.19.2</w:t>
      </w:r>
      <w:r>
        <w:rPr>
          <w:rFonts w:ascii="Times New Roman" w:eastAsia="Times New Roman" w:hAnsi="Times New Roman" w:cs="Times New Roman"/>
          <w:sz w:val="26"/>
          <w:szCs w:val="26"/>
        </w:rPr>
        <w:t xml:space="preserve"> empresas brasileiras; </w:t>
      </w:r>
    </w:p>
    <w:p w14:paraId="5C25BA4B"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11.19.3 </w:t>
      </w:r>
      <w:r>
        <w:rPr>
          <w:rFonts w:ascii="Times New Roman" w:eastAsia="Times New Roman" w:hAnsi="Times New Roman" w:cs="Times New Roman"/>
          <w:sz w:val="26"/>
          <w:szCs w:val="26"/>
        </w:rPr>
        <w:t xml:space="preserve">empresas que invistam em pesquisa e no desenvolvimento de tecnologia no País; </w:t>
      </w:r>
    </w:p>
    <w:p w14:paraId="2E68B899"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11.19.4</w:t>
      </w:r>
      <w:r>
        <w:rPr>
          <w:rFonts w:ascii="Times New Roman" w:eastAsia="Times New Roman" w:hAnsi="Times New Roman" w:cs="Times New Roman"/>
          <w:sz w:val="26"/>
          <w:szCs w:val="26"/>
        </w:rPr>
        <w:t xml:space="preserve"> empresas que comprovem a prática de mitigação, nos termos da Lei nº 12.187, de 29 de dezembro de 2009. </w:t>
      </w:r>
    </w:p>
    <w:p w14:paraId="027E87E6"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11.20</w:t>
      </w:r>
      <w:r>
        <w:rPr>
          <w:rFonts w:ascii="Times New Roman" w:eastAsia="Times New Roman" w:hAnsi="Times New Roman" w:cs="Times New Roman"/>
          <w:sz w:val="26"/>
          <w:szCs w:val="26"/>
        </w:rPr>
        <w:t xml:space="preserve"> 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 </w:t>
      </w:r>
    </w:p>
    <w:p w14:paraId="4B302C84"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11.20.1</w:t>
      </w:r>
      <w:r>
        <w:rPr>
          <w:rFonts w:ascii="Times New Roman" w:eastAsia="Times New Roman" w:hAnsi="Times New Roman" w:cs="Times New Roman"/>
          <w:sz w:val="26"/>
          <w:szCs w:val="26"/>
        </w:rPr>
        <w:t xml:space="preserve"> Não será admitida a previsão de preços diferentes em razão de local de entrega ou de acondicionamento, tamanho de lote ou qualquer outro motivo. </w:t>
      </w:r>
    </w:p>
    <w:p w14:paraId="12289302"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11.20.2</w:t>
      </w:r>
      <w:r>
        <w:rPr>
          <w:rFonts w:ascii="Times New Roman" w:eastAsia="Times New Roman" w:hAnsi="Times New Roman" w:cs="Times New Roman"/>
          <w:sz w:val="26"/>
          <w:szCs w:val="26"/>
        </w:rPr>
        <w:t xml:space="preserve"> 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 </w:t>
      </w:r>
    </w:p>
    <w:p w14:paraId="399C700B"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11.20.3</w:t>
      </w:r>
      <w:r>
        <w:rPr>
          <w:rFonts w:ascii="Times New Roman" w:eastAsia="Times New Roman" w:hAnsi="Times New Roman" w:cs="Times New Roman"/>
          <w:sz w:val="26"/>
          <w:szCs w:val="26"/>
        </w:rPr>
        <w:t xml:space="preserve"> A negociação será realizada por meio do sistema, podendo ser acompanhada pelos demais licitantes. </w:t>
      </w:r>
    </w:p>
    <w:p w14:paraId="4183384D"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11.20.4</w:t>
      </w:r>
      <w:r>
        <w:rPr>
          <w:rFonts w:ascii="Times New Roman" w:eastAsia="Times New Roman" w:hAnsi="Times New Roman" w:cs="Times New Roman"/>
          <w:sz w:val="26"/>
          <w:szCs w:val="26"/>
        </w:rPr>
        <w:t xml:space="preserve"> O resultado da negociação será divulgado a todos os licitantes e anexado aos autos do processo licitatório. </w:t>
      </w:r>
    </w:p>
    <w:p w14:paraId="6213C7CC"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11.20.5</w:t>
      </w:r>
      <w:r>
        <w:rPr>
          <w:rFonts w:ascii="Times New Roman" w:eastAsia="Times New Roman" w:hAnsi="Times New Roman" w:cs="Times New Roman"/>
          <w:sz w:val="26"/>
          <w:szCs w:val="26"/>
        </w:rPr>
        <w:t xml:space="preserve"> O pregoeiro solicitará ao licitante mais bem classificado que, no prazo de 2 (duas) horas, envie a proposta adequada ao último lance ofertado após a negociação realizada, acompanhada, se for o caso, dos documentos complementares, quando necessários à confirmação daqueles exigidos neste Edital e já apresentados. </w:t>
      </w:r>
    </w:p>
    <w:p w14:paraId="2BE4D78B"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11.20.6 </w:t>
      </w:r>
      <w:r>
        <w:rPr>
          <w:rFonts w:ascii="Times New Roman" w:eastAsia="Times New Roman" w:hAnsi="Times New Roman" w:cs="Times New Roman"/>
          <w:sz w:val="26"/>
          <w:szCs w:val="26"/>
        </w:rPr>
        <w:t xml:space="preserve">É facultado ao pregoeiro prorrogar o prazo estabelecido, a partir de solicitação fundamentada feita no chat pelo licitante, antes de findo o prazo. </w:t>
      </w:r>
    </w:p>
    <w:p w14:paraId="052DC1B2"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11.21</w:t>
      </w:r>
      <w:r>
        <w:rPr>
          <w:rFonts w:ascii="Times New Roman" w:eastAsia="Times New Roman" w:hAnsi="Times New Roman" w:cs="Times New Roman"/>
          <w:sz w:val="26"/>
          <w:szCs w:val="26"/>
        </w:rPr>
        <w:t xml:space="preserve"> Após a negociação do preço, o Pregoeiro iniciará a fase de aceitação e julgamento da proposta. </w:t>
      </w:r>
    </w:p>
    <w:p w14:paraId="476C871B"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2987EE8D"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 DA FASE DE JULGAMENTO</w:t>
      </w:r>
      <w:r>
        <w:rPr>
          <w:rFonts w:ascii="Times New Roman" w:eastAsia="Times New Roman" w:hAnsi="Times New Roman" w:cs="Times New Roman"/>
          <w:sz w:val="26"/>
          <w:szCs w:val="26"/>
        </w:rPr>
        <w:t xml:space="preserve"> </w:t>
      </w:r>
    </w:p>
    <w:p w14:paraId="5ED76599"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12.1</w:t>
      </w:r>
      <w:r>
        <w:rPr>
          <w:rFonts w:ascii="Times New Roman" w:eastAsia="Times New Roman" w:hAnsi="Times New Roman" w:cs="Times New Roman"/>
          <w:sz w:val="26"/>
          <w:szCs w:val="26"/>
        </w:rPr>
        <w:t xml:space="preserve"> Encerrada a etapa de negociação, o pregoeiro verificará se o licitante provisoriamente classificado em primeiro lugar atende às condições de participação no certame, conforme previsto no art. 14 da Lei nº 14.133/2021, legislação correlata e no item 3.7 do edital, especialmente quanto à existência de sanção que impeça a participação no certame ou a futura contratação, mediante a consulta aos seguintes cadastros: </w:t>
      </w:r>
    </w:p>
    <w:p w14:paraId="08617846"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12.1.1 </w:t>
      </w:r>
      <w:r>
        <w:rPr>
          <w:rFonts w:ascii="Times New Roman" w:eastAsia="Times New Roman" w:hAnsi="Times New Roman" w:cs="Times New Roman"/>
          <w:sz w:val="26"/>
          <w:szCs w:val="26"/>
        </w:rPr>
        <w:t>Cadastro Nacional de Empresas Inidôneas e Suspensas - CEIS, mantido pela Controladoria-Geral da União (https://</w:t>
      </w:r>
      <w:hyperlink r:id="rId19">
        <w:r>
          <w:rPr>
            <w:rFonts w:ascii="Times New Roman" w:eastAsia="Times New Roman" w:hAnsi="Times New Roman" w:cs="Times New Roman"/>
            <w:color w:val="0000FF"/>
            <w:sz w:val="26"/>
            <w:szCs w:val="26"/>
            <w:u w:val="single"/>
          </w:rPr>
          <w:t>www.portaltransparencia.gov.br/</w:t>
        </w:r>
        <w:proofErr w:type="spellStart"/>
        <w:r>
          <w:rPr>
            <w:rFonts w:ascii="Times New Roman" w:eastAsia="Times New Roman" w:hAnsi="Times New Roman" w:cs="Times New Roman"/>
            <w:color w:val="0000FF"/>
            <w:sz w:val="26"/>
            <w:szCs w:val="26"/>
            <w:u w:val="single"/>
          </w:rPr>
          <w:t>sancoes</w:t>
        </w:r>
        <w:proofErr w:type="spellEnd"/>
        <w:r>
          <w:rPr>
            <w:rFonts w:ascii="Times New Roman" w:eastAsia="Times New Roman" w:hAnsi="Times New Roman" w:cs="Times New Roman"/>
            <w:color w:val="0000FF"/>
            <w:sz w:val="26"/>
            <w:szCs w:val="26"/>
            <w:u w:val="single"/>
          </w:rPr>
          <w:t>/</w:t>
        </w:r>
        <w:proofErr w:type="spellStart"/>
        <w:r>
          <w:rPr>
            <w:rFonts w:ascii="Times New Roman" w:eastAsia="Times New Roman" w:hAnsi="Times New Roman" w:cs="Times New Roman"/>
            <w:color w:val="0000FF"/>
            <w:sz w:val="26"/>
            <w:szCs w:val="26"/>
            <w:u w:val="single"/>
          </w:rPr>
          <w:t>ceis</w:t>
        </w:r>
        <w:proofErr w:type="spellEnd"/>
        <w:r>
          <w:rPr>
            <w:rFonts w:ascii="Times New Roman" w:eastAsia="Times New Roman" w:hAnsi="Times New Roman" w:cs="Times New Roman"/>
            <w:color w:val="0000FF"/>
            <w:sz w:val="26"/>
            <w:szCs w:val="26"/>
            <w:u w:val="single"/>
          </w:rPr>
          <w:t>);</w:t>
        </w:r>
      </w:hyperlink>
      <w:r>
        <w:rPr>
          <w:rFonts w:ascii="Times New Roman" w:eastAsia="Times New Roman" w:hAnsi="Times New Roman" w:cs="Times New Roman"/>
          <w:color w:val="0000FF"/>
          <w:sz w:val="26"/>
          <w:szCs w:val="26"/>
          <w:u w:val="single"/>
        </w:rPr>
        <w:t xml:space="preserve"> </w:t>
      </w:r>
      <w:r>
        <w:rPr>
          <w:rFonts w:ascii="Times New Roman" w:eastAsia="Times New Roman" w:hAnsi="Times New Roman" w:cs="Times New Roman"/>
          <w:sz w:val="26"/>
          <w:szCs w:val="26"/>
        </w:rPr>
        <w:t xml:space="preserve">e </w:t>
      </w:r>
    </w:p>
    <w:p w14:paraId="1E4FD92B"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12.1.2</w:t>
      </w:r>
      <w:r>
        <w:rPr>
          <w:rFonts w:ascii="Times New Roman" w:eastAsia="Times New Roman" w:hAnsi="Times New Roman" w:cs="Times New Roman"/>
          <w:sz w:val="26"/>
          <w:szCs w:val="26"/>
        </w:rPr>
        <w:t xml:space="preserve"> Cadastro Nacional de Empresas Punidas – CNEP, mantido pela Controladoria- Geral da União (https://</w:t>
      </w:r>
      <w:hyperlink r:id="rId20">
        <w:r>
          <w:rPr>
            <w:rFonts w:ascii="Times New Roman" w:eastAsia="Times New Roman" w:hAnsi="Times New Roman" w:cs="Times New Roman"/>
            <w:color w:val="0000FF"/>
            <w:sz w:val="26"/>
            <w:szCs w:val="26"/>
            <w:u w:val="single"/>
          </w:rPr>
          <w:t>www.portaltransparencia.gov.br/</w:t>
        </w:r>
        <w:proofErr w:type="spellStart"/>
        <w:r>
          <w:rPr>
            <w:rFonts w:ascii="Times New Roman" w:eastAsia="Times New Roman" w:hAnsi="Times New Roman" w:cs="Times New Roman"/>
            <w:color w:val="0000FF"/>
            <w:sz w:val="26"/>
            <w:szCs w:val="26"/>
            <w:u w:val="single"/>
          </w:rPr>
          <w:t>sancoes</w:t>
        </w:r>
        <w:proofErr w:type="spellEnd"/>
        <w:r>
          <w:rPr>
            <w:rFonts w:ascii="Times New Roman" w:eastAsia="Times New Roman" w:hAnsi="Times New Roman" w:cs="Times New Roman"/>
            <w:color w:val="0000FF"/>
            <w:sz w:val="26"/>
            <w:szCs w:val="26"/>
            <w:u w:val="single"/>
          </w:rPr>
          <w:t>/</w:t>
        </w:r>
        <w:proofErr w:type="spellStart"/>
        <w:r>
          <w:rPr>
            <w:rFonts w:ascii="Times New Roman" w:eastAsia="Times New Roman" w:hAnsi="Times New Roman" w:cs="Times New Roman"/>
            <w:color w:val="0000FF"/>
            <w:sz w:val="26"/>
            <w:szCs w:val="26"/>
            <w:u w:val="single"/>
          </w:rPr>
          <w:t>cnep</w:t>
        </w:r>
        <w:proofErr w:type="spellEnd"/>
        <w:r>
          <w:rPr>
            <w:rFonts w:ascii="Times New Roman" w:eastAsia="Times New Roman" w:hAnsi="Times New Roman" w:cs="Times New Roman"/>
            <w:color w:val="0000FF"/>
            <w:sz w:val="26"/>
            <w:szCs w:val="26"/>
            <w:u w:val="single"/>
          </w:rPr>
          <w:t>).</w:t>
        </w:r>
      </w:hyperlink>
      <w:r>
        <w:rPr>
          <w:rFonts w:ascii="Times New Roman" w:eastAsia="Times New Roman" w:hAnsi="Times New Roman" w:cs="Times New Roman"/>
          <w:sz w:val="26"/>
          <w:szCs w:val="26"/>
        </w:rPr>
        <w:t xml:space="preserve"> </w:t>
      </w:r>
    </w:p>
    <w:p w14:paraId="784B01E3"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12.2 </w:t>
      </w:r>
      <w:r>
        <w:rPr>
          <w:rFonts w:ascii="Times New Roman" w:eastAsia="Times New Roman" w:hAnsi="Times New Roman" w:cs="Times New Roman"/>
          <w:sz w:val="26"/>
          <w:szCs w:val="26"/>
        </w:rPr>
        <w:t xml:space="preserve">A consulta aos cadastros será realizada em nome da empresa licitante </w:t>
      </w:r>
      <w:proofErr w:type="gramStart"/>
      <w:r>
        <w:rPr>
          <w:rFonts w:ascii="Times New Roman" w:eastAsia="Times New Roman" w:hAnsi="Times New Roman" w:cs="Times New Roman"/>
          <w:sz w:val="26"/>
          <w:szCs w:val="26"/>
        </w:rPr>
        <w:t>e também</w:t>
      </w:r>
      <w:proofErr w:type="gramEnd"/>
      <w:r>
        <w:rPr>
          <w:rFonts w:ascii="Times New Roman" w:eastAsia="Times New Roman" w:hAnsi="Times New Roman" w:cs="Times New Roman"/>
          <w:sz w:val="26"/>
          <w:szCs w:val="26"/>
        </w:rPr>
        <w:t xml:space="preserve"> de seu sócio majoritário, por força da vedação de que trata o artigo 12 da Lei nº 8.429, de 1992. </w:t>
      </w:r>
    </w:p>
    <w:p w14:paraId="7094554D"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12.3</w:t>
      </w:r>
      <w:r>
        <w:rPr>
          <w:rFonts w:ascii="Times New Roman" w:eastAsia="Times New Roman" w:hAnsi="Times New Roman" w:cs="Times New Roman"/>
          <w:sz w:val="26"/>
          <w:szCs w:val="26"/>
        </w:rPr>
        <w:t xml:space="preserve"> Caso conste na Consulta de Situação do licitante a existência de Ocorrências Impeditivas Indiretas, o Pregoeiro diligenciará para verificar se houve fraude por parte das empresas apontadas no Relatório de Ocorrências Impeditivas Indiretas. (IN nº 3/2018, art. 29, caput) </w:t>
      </w:r>
    </w:p>
    <w:p w14:paraId="05996449"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12.3.1 </w:t>
      </w:r>
      <w:r>
        <w:rPr>
          <w:rFonts w:ascii="Times New Roman" w:eastAsia="Times New Roman" w:hAnsi="Times New Roman" w:cs="Times New Roman"/>
          <w:sz w:val="26"/>
          <w:szCs w:val="26"/>
        </w:rPr>
        <w:t xml:space="preserve">A tentativa de burla será verificada por meio dos vínculos societários, linhas de fornecimento similares, dentre outros. (IN nº 3/2018, art. 29, §1º). </w:t>
      </w:r>
    </w:p>
    <w:p w14:paraId="68A8FAFE"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12.3.2</w:t>
      </w:r>
      <w:r>
        <w:rPr>
          <w:rFonts w:ascii="Times New Roman" w:eastAsia="Times New Roman" w:hAnsi="Times New Roman" w:cs="Times New Roman"/>
          <w:sz w:val="26"/>
          <w:szCs w:val="26"/>
        </w:rPr>
        <w:t xml:space="preserve"> O licitante será convocado para manifestação previamente a uma eventual desclassificação. (IN nº 3/2018, art. 29, §2º). </w:t>
      </w:r>
    </w:p>
    <w:p w14:paraId="35B1BE23"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12.3.3</w:t>
      </w:r>
      <w:r>
        <w:rPr>
          <w:rFonts w:ascii="Times New Roman" w:eastAsia="Times New Roman" w:hAnsi="Times New Roman" w:cs="Times New Roman"/>
          <w:sz w:val="26"/>
          <w:szCs w:val="26"/>
        </w:rPr>
        <w:t xml:space="preserve"> Constatada a existência de sanção, o licitante será reputado inabilitado, por falta de condição de participação. </w:t>
      </w:r>
    </w:p>
    <w:p w14:paraId="7ED812B6"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12.4</w:t>
      </w:r>
      <w:r>
        <w:rPr>
          <w:rFonts w:ascii="Times New Roman" w:eastAsia="Times New Roman" w:hAnsi="Times New Roman" w:cs="Times New Roman"/>
          <w:sz w:val="26"/>
          <w:szCs w:val="26"/>
        </w:rPr>
        <w:t xml:space="preserve"> Na hipótese de inversão das fases de habilitação e julgamento, caso atendidas as condições de participação, será iniciado o procedimento de habilitação. </w:t>
      </w:r>
    </w:p>
    <w:p w14:paraId="4252D3B1"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12.5</w:t>
      </w:r>
      <w:r>
        <w:rPr>
          <w:rFonts w:ascii="Times New Roman" w:eastAsia="Times New Roman" w:hAnsi="Times New Roman" w:cs="Times New Roman"/>
          <w:sz w:val="26"/>
          <w:szCs w:val="26"/>
        </w:rPr>
        <w:t xml:space="preserve"> Caso o licitante provisoriamente classificado em primeiro lugar tenha se utilizado de algum tratamento favorecido às ME/</w:t>
      </w:r>
      <w:proofErr w:type="spellStart"/>
      <w:r>
        <w:rPr>
          <w:rFonts w:ascii="Times New Roman" w:eastAsia="Times New Roman" w:hAnsi="Times New Roman" w:cs="Times New Roman"/>
          <w:sz w:val="26"/>
          <w:szCs w:val="26"/>
        </w:rPr>
        <w:t>EPPs</w:t>
      </w:r>
      <w:proofErr w:type="spellEnd"/>
      <w:r>
        <w:rPr>
          <w:rFonts w:ascii="Times New Roman" w:eastAsia="Times New Roman" w:hAnsi="Times New Roman" w:cs="Times New Roman"/>
          <w:sz w:val="26"/>
          <w:szCs w:val="26"/>
        </w:rPr>
        <w:t xml:space="preserve">, o pregoeiro verificará se faz jus ao benefício, em conformidade com os itens 3.2 e 11.17 deste edital. </w:t>
      </w:r>
    </w:p>
    <w:p w14:paraId="7E9005A3"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12.6</w:t>
      </w:r>
      <w:r>
        <w:rPr>
          <w:rFonts w:ascii="Times New Roman" w:eastAsia="Times New Roman" w:hAnsi="Times New Roman" w:cs="Times New Roman"/>
          <w:sz w:val="26"/>
          <w:szCs w:val="26"/>
        </w:rPr>
        <w:t xml:space="preserve"> Verificadas as condições de participação e de utilização do tratamento favorecido, o pregoeiro examinará a proposta classificada em primeiro lugar quanto à adequação ao objeto e à compatibilidade do preço em relação ao máximo estipulado para contratação neste Edital e em seus anexos, observado o disposto nos arts. 35 a 40 do Ato da Mesa nº 440/2023</w:t>
      </w:r>
      <w:r>
        <w:rPr>
          <w:rFonts w:ascii="Times New Roman" w:eastAsia="Times New Roman" w:hAnsi="Times New Roman" w:cs="Times New Roman"/>
          <w:sz w:val="26"/>
          <w:szCs w:val="26"/>
          <w:vertAlign w:val="superscript"/>
        </w:rPr>
        <w:footnoteReference w:id="3"/>
      </w:r>
      <w:r>
        <w:rPr>
          <w:rFonts w:ascii="Times New Roman" w:eastAsia="Times New Roman" w:hAnsi="Times New Roman" w:cs="Times New Roman"/>
          <w:sz w:val="26"/>
          <w:szCs w:val="26"/>
        </w:rPr>
        <w:t>.</w:t>
      </w:r>
    </w:p>
    <w:p w14:paraId="76354455"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12.7</w:t>
      </w:r>
      <w:r>
        <w:rPr>
          <w:rFonts w:ascii="Times New Roman" w:eastAsia="Times New Roman" w:hAnsi="Times New Roman" w:cs="Times New Roman"/>
          <w:sz w:val="26"/>
          <w:szCs w:val="26"/>
        </w:rPr>
        <w:t xml:space="preserve"> Será desclassificada a proposta vencedora que: </w:t>
      </w:r>
    </w:p>
    <w:p w14:paraId="748B7679"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12.7.1</w:t>
      </w:r>
      <w:r>
        <w:rPr>
          <w:rFonts w:ascii="Times New Roman" w:eastAsia="Times New Roman" w:hAnsi="Times New Roman" w:cs="Times New Roman"/>
          <w:sz w:val="26"/>
          <w:szCs w:val="26"/>
        </w:rPr>
        <w:t xml:space="preserve"> contiver vícios insanáveis; </w:t>
      </w:r>
    </w:p>
    <w:p w14:paraId="254CFB11"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12.7.2</w:t>
      </w:r>
      <w:r>
        <w:rPr>
          <w:rFonts w:ascii="Times New Roman" w:eastAsia="Times New Roman" w:hAnsi="Times New Roman" w:cs="Times New Roman"/>
          <w:sz w:val="26"/>
          <w:szCs w:val="26"/>
        </w:rPr>
        <w:t xml:space="preserve"> não obedecer às especificações técnicas contidas no Termo de Referência; </w:t>
      </w:r>
    </w:p>
    <w:p w14:paraId="15487F70"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12.7.3</w:t>
      </w:r>
      <w:r>
        <w:rPr>
          <w:rFonts w:ascii="Times New Roman" w:eastAsia="Times New Roman" w:hAnsi="Times New Roman" w:cs="Times New Roman"/>
          <w:sz w:val="26"/>
          <w:szCs w:val="26"/>
        </w:rPr>
        <w:t xml:space="preserve"> apresentar preços inexequíveis ou permanecerem acima do preço máximo definido para a contratação; não tiverem sua exequibilidade demonstrada, quando exigido pela Administração; </w:t>
      </w:r>
    </w:p>
    <w:p w14:paraId="194DB160"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12.7.4</w:t>
      </w:r>
      <w:r>
        <w:rPr>
          <w:rFonts w:ascii="Times New Roman" w:eastAsia="Times New Roman" w:hAnsi="Times New Roman" w:cs="Times New Roman"/>
          <w:sz w:val="26"/>
          <w:szCs w:val="26"/>
        </w:rPr>
        <w:t xml:space="preserve"> apresentar desconformidade com quaisquer outras exigências deste Edital ou seus anexos, desde que insanável. </w:t>
      </w:r>
    </w:p>
    <w:p w14:paraId="549A6081"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12.8</w:t>
      </w:r>
      <w:r>
        <w:rPr>
          <w:rFonts w:ascii="Times New Roman" w:eastAsia="Times New Roman" w:hAnsi="Times New Roman" w:cs="Times New Roman"/>
          <w:sz w:val="26"/>
          <w:szCs w:val="26"/>
        </w:rPr>
        <w:t xml:space="preserve"> No caso de bens e serviços em geral, é indício de inexequibilidade das propostas valores inferiores a 50% (cinquenta por cento) do valor orçado pela Administração. </w:t>
      </w:r>
    </w:p>
    <w:p w14:paraId="41750A48"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12.9</w:t>
      </w:r>
      <w:r>
        <w:rPr>
          <w:rFonts w:ascii="Times New Roman" w:eastAsia="Times New Roman" w:hAnsi="Times New Roman" w:cs="Times New Roman"/>
          <w:sz w:val="26"/>
          <w:szCs w:val="26"/>
        </w:rPr>
        <w:t xml:space="preserve"> A inexequibilidade, na hipótese de que trata o caput, só será considerada após diligência do pregoeiro, que comprove: </w:t>
      </w:r>
    </w:p>
    <w:p w14:paraId="421848B1"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12.9.1</w:t>
      </w:r>
      <w:r>
        <w:rPr>
          <w:rFonts w:ascii="Times New Roman" w:eastAsia="Times New Roman" w:hAnsi="Times New Roman" w:cs="Times New Roman"/>
          <w:sz w:val="26"/>
          <w:szCs w:val="26"/>
        </w:rPr>
        <w:t xml:space="preserve"> que o custo do licitante ultrapassa o valor da proposta; e </w:t>
      </w:r>
    </w:p>
    <w:p w14:paraId="38A994A7"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12.9.2</w:t>
      </w:r>
      <w:r>
        <w:rPr>
          <w:rFonts w:ascii="Times New Roman" w:eastAsia="Times New Roman" w:hAnsi="Times New Roman" w:cs="Times New Roman"/>
          <w:sz w:val="26"/>
          <w:szCs w:val="26"/>
        </w:rPr>
        <w:t xml:space="preserve"> inexistirem custos de oportunidade capazes de justificar o vulto da oferta. </w:t>
      </w:r>
    </w:p>
    <w:p w14:paraId="5CB8A927"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12.9.3</w:t>
      </w:r>
      <w:r>
        <w:rPr>
          <w:rFonts w:ascii="Times New Roman" w:eastAsia="Times New Roman" w:hAnsi="Times New Roman" w:cs="Times New Roman"/>
          <w:sz w:val="26"/>
          <w:szCs w:val="26"/>
        </w:rPr>
        <w:t xml:space="preserve"> Será exigida garantia adicional do licitante vencedor cuja proposta for inferior a 85% (oitenta e cinco por cento) do valor orçado pela Administração, equivalente à diferença entre este último e o valor da proposta, sem prejuízo das demais garantias exigíveis de acordo com a Lei. </w:t>
      </w:r>
    </w:p>
    <w:p w14:paraId="333E18E2"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12.10</w:t>
      </w:r>
      <w:r>
        <w:rPr>
          <w:rFonts w:ascii="Times New Roman" w:eastAsia="Times New Roman" w:hAnsi="Times New Roman" w:cs="Times New Roman"/>
          <w:sz w:val="26"/>
          <w:szCs w:val="26"/>
        </w:rPr>
        <w:t xml:space="preserve"> Se houver indícios de inexequibilidade da proposta de preço, ou em caso da necessidade de esclarecimentos complementares, poderão ser efetuadas diligências, para que a empresa comprove a exequibilidade da proposta. </w:t>
      </w:r>
    </w:p>
    <w:p w14:paraId="704D562A"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12.11</w:t>
      </w:r>
      <w:r>
        <w:rPr>
          <w:rFonts w:ascii="Times New Roman" w:eastAsia="Times New Roman" w:hAnsi="Times New Roman" w:cs="Times New Roman"/>
          <w:sz w:val="26"/>
          <w:szCs w:val="26"/>
        </w:rPr>
        <w:t xml:space="preserve"> Caso o custo global estimado do objeto licitado tenha sido decomposto em seus respectivos custos unitários por meio de Planilha de Custos e Formação de Preços elaborada pela Administração, o licitante classificado em primeiro lugar será convocado para apresentar Planilha por ele elaborada, com os respectivos valores adequados ao valor final da sua proposta, sob pena de não aceitação da proposta. </w:t>
      </w:r>
    </w:p>
    <w:p w14:paraId="61EF6EB6"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12.12</w:t>
      </w:r>
      <w:r>
        <w:rPr>
          <w:rFonts w:ascii="Times New Roman" w:eastAsia="Times New Roman" w:hAnsi="Times New Roman" w:cs="Times New Roman"/>
          <w:sz w:val="26"/>
          <w:szCs w:val="26"/>
        </w:rPr>
        <w:t xml:space="preserve"> 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 </w:t>
      </w:r>
    </w:p>
    <w:p w14:paraId="397713DC"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12.12.1</w:t>
      </w:r>
      <w:r>
        <w:rPr>
          <w:rFonts w:ascii="Times New Roman" w:eastAsia="Times New Roman" w:hAnsi="Times New Roman" w:cs="Times New Roman"/>
          <w:sz w:val="26"/>
          <w:szCs w:val="26"/>
        </w:rPr>
        <w:t xml:space="preserve"> O ajuste de que trata este dispositivo se limita a sanar erros ou falhas que não alterem a substância das propostas; </w:t>
      </w:r>
    </w:p>
    <w:p w14:paraId="2841AD4C"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12.12.2</w:t>
      </w:r>
      <w:r>
        <w:rPr>
          <w:rFonts w:ascii="Times New Roman" w:eastAsia="Times New Roman" w:hAnsi="Times New Roman" w:cs="Times New Roman"/>
          <w:sz w:val="26"/>
          <w:szCs w:val="26"/>
        </w:rPr>
        <w:t xml:space="preserve"> Considera-se erro no preenchimento da planilha passível de correção a indicação de recolhimento de impostos e contribuições na forma do Simples Nacional, quando não cabível esse regime. </w:t>
      </w:r>
    </w:p>
    <w:p w14:paraId="7AA2164C"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12.13</w:t>
      </w:r>
      <w:r>
        <w:rPr>
          <w:rFonts w:ascii="Times New Roman" w:eastAsia="Times New Roman" w:hAnsi="Times New Roman" w:cs="Times New Roman"/>
          <w:sz w:val="26"/>
          <w:szCs w:val="26"/>
        </w:rPr>
        <w:t xml:space="preserve"> Para fins de análise da proposta quanto ao cumprimento das especificações do objeto, poderá ser colhida a manifestação escrita do setor requisitante do serviço ou da área especializada no objeto. </w:t>
      </w:r>
    </w:p>
    <w:p w14:paraId="373E4BB5"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6BEB4062"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13. DA FASE DE HABILITAÇÃO</w:t>
      </w:r>
      <w:r>
        <w:rPr>
          <w:rFonts w:ascii="Times New Roman" w:eastAsia="Times New Roman" w:hAnsi="Times New Roman" w:cs="Times New Roman"/>
          <w:sz w:val="26"/>
          <w:szCs w:val="26"/>
        </w:rPr>
        <w:t xml:space="preserve"> </w:t>
      </w:r>
    </w:p>
    <w:p w14:paraId="3B11E371"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384F38FF"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13.1</w:t>
      </w:r>
      <w:r>
        <w:rPr>
          <w:rFonts w:ascii="Times New Roman" w:eastAsia="Times New Roman" w:hAnsi="Times New Roman" w:cs="Times New Roman"/>
          <w:sz w:val="26"/>
          <w:szCs w:val="26"/>
        </w:rPr>
        <w:t xml:space="preserve"> Os documentos previstos no item 3 do Anexo I - Termo de Referência, necessários e suficientes para demonstrar a capacidade do licitante de realizar o objeto da licitação, serão exigidos para fins de habilitação, nos termos dos arts. 62 a 70 da Lei nº 14.133, de 2021. </w:t>
      </w:r>
    </w:p>
    <w:p w14:paraId="524A6B66"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13.1.1 </w:t>
      </w:r>
      <w:r>
        <w:rPr>
          <w:rFonts w:ascii="Times New Roman" w:eastAsia="Times New Roman" w:hAnsi="Times New Roman" w:cs="Times New Roman"/>
          <w:sz w:val="26"/>
          <w:szCs w:val="26"/>
        </w:rPr>
        <w:t>A documentação exigida para fins de habilitação jurídica, fiscal, social e trabalhista e econômico-</w:t>
      </w:r>
      <w:proofErr w:type="spellStart"/>
      <w:proofErr w:type="gramStart"/>
      <w:r>
        <w:rPr>
          <w:rFonts w:ascii="Times New Roman" w:eastAsia="Times New Roman" w:hAnsi="Times New Roman" w:cs="Times New Roman"/>
          <w:sz w:val="26"/>
          <w:szCs w:val="26"/>
        </w:rPr>
        <w:t>ﬁnanceira,poderá</w:t>
      </w:r>
      <w:proofErr w:type="spellEnd"/>
      <w:proofErr w:type="gramEnd"/>
      <w:r>
        <w:rPr>
          <w:rFonts w:ascii="Times New Roman" w:eastAsia="Times New Roman" w:hAnsi="Times New Roman" w:cs="Times New Roman"/>
          <w:sz w:val="26"/>
          <w:szCs w:val="26"/>
        </w:rPr>
        <w:t xml:space="preserve"> ser substituída pelo registro cadastral no SICAF. </w:t>
      </w:r>
    </w:p>
    <w:p w14:paraId="0C06FCF4"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13.2</w:t>
      </w:r>
      <w:r>
        <w:rPr>
          <w:rFonts w:ascii="Times New Roman" w:eastAsia="Times New Roman" w:hAnsi="Times New Roman" w:cs="Times New Roman"/>
          <w:sz w:val="26"/>
          <w:szCs w:val="26"/>
        </w:rPr>
        <w:t xml:space="preserve"> Quando permitida a participação de empresas estrangeiras que não funcionem no País, as exigências de habilitação serão atendidas mediante documentos equivalentes, inicialmente apresentados em tradução livre. </w:t>
      </w:r>
    </w:p>
    <w:p w14:paraId="0322C867" w14:textId="2697E653"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13.3</w:t>
      </w:r>
      <w:r>
        <w:rPr>
          <w:rFonts w:ascii="Times New Roman" w:eastAsia="Times New Roman" w:hAnsi="Times New Roman" w:cs="Times New Roman"/>
          <w:sz w:val="26"/>
          <w:szCs w:val="26"/>
        </w:rPr>
        <w:t xml:space="preserve"> Na hipótese de o licitante vencedor ser empresa estrangeira que não funcione no País, para </w:t>
      </w:r>
      <w:proofErr w:type="spellStart"/>
      <w:r>
        <w:rPr>
          <w:rFonts w:ascii="Times New Roman" w:eastAsia="Times New Roman" w:hAnsi="Times New Roman" w:cs="Times New Roman"/>
          <w:sz w:val="26"/>
          <w:szCs w:val="26"/>
        </w:rPr>
        <w:t>ﬁns</w:t>
      </w:r>
      <w:proofErr w:type="spellEnd"/>
      <w:r>
        <w:rPr>
          <w:rFonts w:ascii="Times New Roman" w:eastAsia="Times New Roman" w:hAnsi="Times New Roman" w:cs="Times New Roman"/>
          <w:sz w:val="26"/>
          <w:szCs w:val="26"/>
        </w:rPr>
        <w:t xml:space="preserve"> de assinatura do contrato ou da ata de registro de preços, os documentos exigidos para a habilitação serão traduzidos por tradutor juramentado no País e apostilados nos termos do disposto no Decreto nº 8.660, de 29 de janeiro de 2016, ou de outro que venha a </w:t>
      </w:r>
      <w:r w:rsidR="00DD3235">
        <w:rPr>
          <w:rFonts w:ascii="Times New Roman" w:eastAsia="Times New Roman" w:hAnsi="Times New Roman" w:cs="Times New Roman"/>
          <w:sz w:val="26"/>
          <w:szCs w:val="26"/>
        </w:rPr>
        <w:t>substituí-lo</w:t>
      </w:r>
      <w:r>
        <w:rPr>
          <w:rFonts w:ascii="Times New Roman" w:eastAsia="Times New Roman" w:hAnsi="Times New Roman" w:cs="Times New Roman"/>
          <w:sz w:val="26"/>
          <w:szCs w:val="26"/>
        </w:rPr>
        <w:t xml:space="preserve">, ou </w:t>
      </w:r>
      <w:proofErr w:type="spellStart"/>
      <w:r>
        <w:rPr>
          <w:rFonts w:ascii="Times New Roman" w:eastAsia="Times New Roman" w:hAnsi="Times New Roman" w:cs="Times New Roman"/>
          <w:sz w:val="26"/>
          <w:szCs w:val="26"/>
        </w:rPr>
        <w:t>consularizados</w:t>
      </w:r>
      <w:proofErr w:type="spellEnd"/>
      <w:r>
        <w:rPr>
          <w:rFonts w:ascii="Times New Roman" w:eastAsia="Times New Roman" w:hAnsi="Times New Roman" w:cs="Times New Roman"/>
          <w:sz w:val="26"/>
          <w:szCs w:val="26"/>
        </w:rPr>
        <w:t xml:space="preserve"> pelos respectivos consulados ou embaixadas. </w:t>
      </w:r>
    </w:p>
    <w:p w14:paraId="686ECDE4"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13.4 </w:t>
      </w:r>
      <w:r>
        <w:rPr>
          <w:rFonts w:ascii="Times New Roman" w:eastAsia="Times New Roman" w:hAnsi="Times New Roman" w:cs="Times New Roman"/>
          <w:sz w:val="26"/>
          <w:szCs w:val="26"/>
        </w:rPr>
        <w:t xml:space="preserve">Quando permitida a participação de consórcio de empresas, a habilitação técnica, quando exigida, será feita por meio do somatório dos quantitativos de cada consorciado e, para efeito de habilitação econômico-financeira, quando exigida, será observado o somatório dos valores de cada consorciado. </w:t>
      </w:r>
    </w:p>
    <w:p w14:paraId="7DDD7FB0"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13.5</w:t>
      </w:r>
      <w:r>
        <w:rPr>
          <w:rFonts w:ascii="Times New Roman" w:eastAsia="Times New Roman" w:hAnsi="Times New Roman" w:cs="Times New Roman"/>
          <w:sz w:val="26"/>
          <w:szCs w:val="26"/>
        </w:rPr>
        <w:t xml:space="preserve"> Os documentos exigidos para fins de habilitação poderão ser apresentados em original, por cópia e será especificado no Termo de referência. </w:t>
      </w:r>
    </w:p>
    <w:p w14:paraId="35788E4E"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13.6</w:t>
      </w:r>
      <w:r>
        <w:rPr>
          <w:rFonts w:ascii="Times New Roman" w:eastAsia="Times New Roman" w:hAnsi="Times New Roman" w:cs="Times New Roman"/>
          <w:sz w:val="26"/>
          <w:szCs w:val="26"/>
        </w:rPr>
        <w:t xml:space="preserve"> Os documentos exigidos para fins de habilitação poderão ser substituídos por registro cadastral emitido por órgão ou entidade pública, desde que o registro tenha sido feito em obediência ao disposto na Lei nº 14.133/2021. </w:t>
      </w:r>
    </w:p>
    <w:p w14:paraId="6CF81A7A"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13.7</w:t>
      </w:r>
      <w:r>
        <w:rPr>
          <w:rFonts w:ascii="Times New Roman" w:eastAsia="Times New Roman" w:hAnsi="Times New Roman" w:cs="Times New Roman"/>
          <w:sz w:val="26"/>
          <w:szCs w:val="26"/>
        </w:rPr>
        <w:t xml:space="preserve"> Será verificado se o licitante apresentou declaração de que atende aos requisitos de habilitação, e o declarante responderá pela veracidade das informações prestadas, na forma da lei (art. 63, I, da Lei nº 14.133/2021). </w:t>
      </w:r>
    </w:p>
    <w:p w14:paraId="051CB9DA"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13.8</w:t>
      </w:r>
      <w:r>
        <w:rPr>
          <w:rFonts w:ascii="Times New Roman" w:eastAsia="Times New Roman" w:hAnsi="Times New Roman" w:cs="Times New Roman"/>
          <w:sz w:val="26"/>
          <w:szCs w:val="26"/>
        </w:rPr>
        <w:t xml:space="preserve"> A habilitação será verificada via sistema após a aceitação da proposta. </w:t>
      </w:r>
    </w:p>
    <w:p w14:paraId="3A1299AA"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13.8.1</w:t>
      </w:r>
      <w:r>
        <w:rPr>
          <w:rFonts w:ascii="Times New Roman" w:eastAsia="Times New Roman" w:hAnsi="Times New Roman" w:cs="Times New Roman"/>
          <w:sz w:val="26"/>
          <w:szCs w:val="26"/>
        </w:rPr>
        <w:t xml:space="preserve"> Somente haverá a necessidade de comprovação do preenchimento de requisitos mediante apresentação dos documentos originais </w:t>
      </w:r>
      <w:proofErr w:type="spellStart"/>
      <w:r>
        <w:rPr>
          <w:rFonts w:ascii="Times New Roman" w:eastAsia="Times New Roman" w:hAnsi="Times New Roman" w:cs="Times New Roman"/>
          <w:sz w:val="26"/>
          <w:szCs w:val="26"/>
        </w:rPr>
        <w:t>não-digitais</w:t>
      </w:r>
      <w:proofErr w:type="spellEnd"/>
      <w:r>
        <w:rPr>
          <w:rFonts w:ascii="Times New Roman" w:eastAsia="Times New Roman" w:hAnsi="Times New Roman" w:cs="Times New Roman"/>
          <w:sz w:val="26"/>
          <w:szCs w:val="26"/>
        </w:rPr>
        <w:t xml:space="preserve"> quando houver dúvida em relação à integridade do documento digital ou quando a lei expressamente o exigir. (IN nº 3/2018, art. 4º, §1º, e art. 6º, §4º). </w:t>
      </w:r>
    </w:p>
    <w:p w14:paraId="769DF4CF"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13.9</w:t>
      </w:r>
      <w:r>
        <w:rPr>
          <w:rFonts w:ascii="Times New Roman" w:eastAsia="Times New Roman" w:hAnsi="Times New Roman" w:cs="Times New Roman"/>
          <w:sz w:val="26"/>
          <w:szCs w:val="26"/>
        </w:rPr>
        <w:t xml:space="preserve"> É de responsabilidade do licitante conferir a exatidão dos seus dados cadastrais e </w:t>
      </w:r>
      <w:proofErr w:type="spellStart"/>
      <w:r>
        <w:rPr>
          <w:rFonts w:ascii="Times New Roman" w:eastAsia="Times New Roman" w:hAnsi="Times New Roman" w:cs="Times New Roman"/>
          <w:sz w:val="26"/>
          <w:szCs w:val="26"/>
        </w:rPr>
        <w:t>habilitatórias</w:t>
      </w:r>
      <w:proofErr w:type="spellEnd"/>
      <w:r>
        <w:rPr>
          <w:rFonts w:ascii="Times New Roman" w:eastAsia="Times New Roman" w:hAnsi="Times New Roman" w:cs="Times New Roman"/>
          <w:sz w:val="26"/>
          <w:szCs w:val="26"/>
        </w:rPr>
        <w:t xml:space="preserve"> via sistema, além de mantê-los atualizados junto aos órgãos responsáveis pela informação, devendo proceder, imediatamente, à correção ou à alteração dos </w:t>
      </w:r>
      <w:r>
        <w:rPr>
          <w:rFonts w:ascii="Times New Roman" w:eastAsia="Times New Roman" w:hAnsi="Times New Roman" w:cs="Times New Roman"/>
          <w:sz w:val="26"/>
          <w:szCs w:val="26"/>
        </w:rPr>
        <w:lastRenderedPageBreak/>
        <w:t xml:space="preserve">registros tão logo identifique incorreção ou aqueles se tornem desatualizados. (IN nº 3/2018, art. 7º, caput). </w:t>
      </w:r>
    </w:p>
    <w:p w14:paraId="24C5922D"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proofErr w:type="gramStart"/>
      <w:r>
        <w:rPr>
          <w:rFonts w:ascii="Times New Roman" w:eastAsia="Times New Roman" w:hAnsi="Times New Roman" w:cs="Times New Roman"/>
          <w:b/>
          <w:sz w:val="26"/>
          <w:szCs w:val="26"/>
        </w:rPr>
        <w:t xml:space="preserve">13.9.1 </w:t>
      </w:r>
      <w:r>
        <w:rPr>
          <w:rFonts w:ascii="Times New Roman" w:eastAsia="Times New Roman" w:hAnsi="Times New Roman" w:cs="Times New Roman"/>
          <w:sz w:val="26"/>
          <w:szCs w:val="26"/>
        </w:rPr>
        <w:t xml:space="preserve"> A</w:t>
      </w:r>
      <w:proofErr w:type="gramEnd"/>
      <w:r>
        <w:rPr>
          <w:rFonts w:ascii="Times New Roman" w:eastAsia="Times New Roman" w:hAnsi="Times New Roman" w:cs="Times New Roman"/>
          <w:sz w:val="26"/>
          <w:szCs w:val="26"/>
        </w:rPr>
        <w:t xml:space="preserve"> não observância do disposto no item anterior poderá ensejar desclassificação no momento da habilitação. (IN nº 3/2018, art. 7º, parágrafo único). </w:t>
      </w:r>
    </w:p>
    <w:p w14:paraId="4A858E41"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13.10 </w:t>
      </w:r>
      <w:r>
        <w:rPr>
          <w:rFonts w:ascii="Times New Roman" w:eastAsia="Times New Roman" w:hAnsi="Times New Roman" w:cs="Times New Roman"/>
          <w:sz w:val="26"/>
          <w:szCs w:val="26"/>
        </w:rPr>
        <w:t xml:space="preserve">A verificação pelo pregoeiro, em sítios eletrônicos oficiais de órgãos e entidades emissores de certidões constitui meio legal de prova, para fins de habilitação. </w:t>
      </w:r>
    </w:p>
    <w:p w14:paraId="00AF3F84"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13.10.1</w:t>
      </w:r>
      <w:r>
        <w:rPr>
          <w:rFonts w:ascii="Times New Roman" w:eastAsia="Times New Roman" w:hAnsi="Times New Roman" w:cs="Times New Roman"/>
          <w:sz w:val="26"/>
          <w:szCs w:val="26"/>
        </w:rPr>
        <w:t xml:space="preserve"> Na hipótese de a fase de habilitação anteceder a fase de apresentação de propostas e lances, os licitantes encaminharão, por meio do sistema, simultaneamente os documentos de habilitação e a proposta com o preço ou o percentual de desconto, observado o disposto no § 1º do art. 36 e no § 1º do art. 39 da Instrução Normativa SEGES nº 73, de 30 de setembro de 2022. </w:t>
      </w:r>
    </w:p>
    <w:p w14:paraId="5E244DA5"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13.11</w:t>
      </w:r>
      <w:r>
        <w:rPr>
          <w:rFonts w:ascii="Times New Roman" w:eastAsia="Times New Roman" w:hAnsi="Times New Roman" w:cs="Times New Roman"/>
          <w:sz w:val="26"/>
          <w:szCs w:val="26"/>
        </w:rPr>
        <w:t xml:space="preserve"> A verificação no </w:t>
      </w:r>
      <w:proofErr w:type="spellStart"/>
      <w:r>
        <w:rPr>
          <w:rFonts w:ascii="Times New Roman" w:eastAsia="Times New Roman" w:hAnsi="Times New Roman" w:cs="Times New Roman"/>
          <w:sz w:val="26"/>
          <w:szCs w:val="26"/>
        </w:rPr>
        <w:t>Sicaf</w:t>
      </w:r>
      <w:proofErr w:type="spellEnd"/>
      <w:r>
        <w:rPr>
          <w:rFonts w:ascii="Times New Roman" w:eastAsia="Times New Roman" w:hAnsi="Times New Roman" w:cs="Times New Roman"/>
          <w:sz w:val="26"/>
          <w:szCs w:val="26"/>
        </w:rPr>
        <w:t xml:space="preserve"> ou a exigência dos documentos nele não contidos somente será feita em relação ao licitante vencedor. </w:t>
      </w:r>
    </w:p>
    <w:p w14:paraId="31C3909B"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13.11.1</w:t>
      </w:r>
      <w:r>
        <w:rPr>
          <w:rFonts w:ascii="Times New Roman" w:eastAsia="Times New Roman" w:hAnsi="Times New Roman" w:cs="Times New Roman"/>
          <w:sz w:val="26"/>
          <w:szCs w:val="26"/>
        </w:rPr>
        <w:t xml:space="preserve"> Os documentos relativos à regularidade fiscal que constem do Termo de Referência somente serão exigidos, em qualquer caso, em momento posterior ao julgamento das propostas, e apenas do licitante mais bem classificado. </w:t>
      </w:r>
    </w:p>
    <w:p w14:paraId="368F4B33"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13.11.2 </w:t>
      </w:r>
      <w:r>
        <w:rPr>
          <w:rFonts w:ascii="Times New Roman" w:eastAsia="Times New Roman" w:hAnsi="Times New Roman" w:cs="Times New Roman"/>
          <w:sz w:val="26"/>
          <w:szCs w:val="26"/>
        </w:rPr>
        <w:t xml:space="preserve">Respeitada a exceção do subitem anterior, relativa à regularidade fiscal, quando a fase de habilitação anteceder as fases de apresentação de propostas e lances e de julgamento, a verificação ou exigência do presente subitem ocorrerá em relação a todos os licitantes. </w:t>
      </w:r>
    </w:p>
    <w:p w14:paraId="3244A28B"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13.12</w:t>
      </w:r>
      <w:r>
        <w:rPr>
          <w:rFonts w:ascii="Times New Roman" w:eastAsia="Times New Roman" w:hAnsi="Times New Roman" w:cs="Times New Roman"/>
          <w:sz w:val="26"/>
          <w:szCs w:val="26"/>
        </w:rPr>
        <w:t xml:space="preserve"> Após a entrega dos documentos para habilitação, não será permitida a substituição ou a apresentação de novos documentos, salvo em sede de diligência, para (Lei 14.133/21, art. 64, e IN 73/2022, art. 39, §4º): </w:t>
      </w:r>
    </w:p>
    <w:p w14:paraId="0E1C7F1F"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13.12.1</w:t>
      </w:r>
      <w:r>
        <w:rPr>
          <w:rFonts w:ascii="Times New Roman" w:eastAsia="Times New Roman" w:hAnsi="Times New Roman" w:cs="Times New Roman"/>
          <w:sz w:val="26"/>
          <w:szCs w:val="26"/>
        </w:rPr>
        <w:t xml:space="preserve"> complementação de informações acerca dos documentos já apresentados pelos licitantes e desde que necessária para apurar fatos existentes à época da abertura do certame; e </w:t>
      </w:r>
    </w:p>
    <w:p w14:paraId="76458CD1"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13.12.2</w:t>
      </w:r>
      <w:r>
        <w:rPr>
          <w:rFonts w:ascii="Times New Roman" w:eastAsia="Times New Roman" w:hAnsi="Times New Roman" w:cs="Times New Roman"/>
          <w:sz w:val="26"/>
          <w:szCs w:val="26"/>
        </w:rPr>
        <w:t xml:space="preserve"> atualização de documentos cuja validade tenha expirado após a data de recebimento das propostas; </w:t>
      </w:r>
    </w:p>
    <w:p w14:paraId="653835D8"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13.13</w:t>
      </w:r>
      <w:r>
        <w:rPr>
          <w:rFonts w:ascii="Times New Roman" w:eastAsia="Times New Roman" w:hAnsi="Times New Roman" w:cs="Times New Roman"/>
          <w:sz w:val="26"/>
          <w:szCs w:val="26"/>
        </w:rPr>
        <w:t xml:space="preserve"> Na análise dos documentos de habilitação, a comissão de contratação poderá sanar erros ou falhas, que não alterem a substância dos documentos e sua validade jurídica, mediante decisão fundamentada, registrada em ata e acessível a todos, atribuindo-lhes </w:t>
      </w:r>
      <w:proofErr w:type="spellStart"/>
      <w:r>
        <w:rPr>
          <w:rFonts w:ascii="Times New Roman" w:eastAsia="Times New Roman" w:hAnsi="Times New Roman" w:cs="Times New Roman"/>
          <w:sz w:val="26"/>
          <w:szCs w:val="26"/>
        </w:rPr>
        <w:t>eﬁcácia</w:t>
      </w:r>
      <w:proofErr w:type="spellEnd"/>
      <w:r>
        <w:rPr>
          <w:rFonts w:ascii="Times New Roman" w:eastAsia="Times New Roman" w:hAnsi="Times New Roman" w:cs="Times New Roman"/>
          <w:sz w:val="26"/>
          <w:szCs w:val="26"/>
        </w:rPr>
        <w:t xml:space="preserve"> para fins de habilitação e classificação. </w:t>
      </w:r>
    </w:p>
    <w:p w14:paraId="38768C7D"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13.14</w:t>
      </w:r>
      <w:r>
        <w:rPr>
          <w:rFonts w:ascii="Times New Roman" w:eastAsia="Times New Roman" w:hAnsi="Times New Roman" w:cs="Times New Roman"/>
          <w:sz w:val="26"/>
          <w:szCs w:val="26"/>
        </w:rPr>
        <w:t xml:space="preserve"> Na hipótese de o licitante não atender às exigências para habilitação, o pregoeiro examinará a proposta subsequente e assim sucessivamente, na ordem de classificação, até a apuração de uma proposta que atenda ao presente edital.</w:t>
      </w:r>
    </w:p>
    <w:p w14:paraId="36F87C44"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13.15</w:t>
      </w:r>
      <w:r>
        <w:rPr>
          <w:rFonts w:ascii="Times New Roman" w:eastAsia="Times New Roman" w:hAnsi="Times New Roman" w:cs="Times New Roman"/>
          <w:sz w:val="26"/>
          <w:szCs w:val="26"/>
        </w:rPr>
        <w:t xml:space="preserve"> Somente serão disponibilizados para acesso público os documentos de habilitação do licitante cuja proposta atenda ao edital de licitação, após concluídos os procedimentos de que trata o subitem anterior. </w:t>
      </w:r>
    </w:p>
    <w:p w14:paraId="75C402E8"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13.16</w:t>
      </w:r>
      <w:r>
        <w:rPr>
          <w:rFonts w:ascii="Times New Roman" w:eastAsia="Times New Roman" w:hAnsi="Times New Roman" w:cs="Times New Roman"/>
          <w:sz w:val="26"/>
          <w:szCs w:val="26"/>
        </w:rPr>
        <w:t xml:space="preserve"> A comprovação de regularidade fiscal e trabalhista das microempresas e das empresas de pequeno porte somente será exigida para efeito de contratação, e não como condição para participação na licitação (art. 4º do Decreto nº 8.538/2015). </w:t>
      </w:r>
    </w:p>
    <w:p w14:paraId="7BB0860C"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13.17</w:t>
      </w:r>
      <w:r>
        <w:rPr>
          <w:rFonts w:ascii="Times New Roman" w:eastAsia="Times New Roman" w:hAnsi="Times New Roman" w:cs="Times New Roman"/>
          <w:sz w:val="26"/>
          <w:szCs w:val="26"/>
        </w:rPr>
        <w:t xml:space="preserve"> Quando a fase de habilitação anteceder a de julgamento e já tiver sido encerrada, não caberá exclusão de licitante por motivo relacionado à habilitação, salvo em razão de fatos supervenientes ou só conhecidos após o julgamento. </w:t>
      </w:r>
    </w:p>
    <w:p w14:paraId="3E137FA8"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0D152F45"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14. DOS RECURSOS</w:t>
      </w:r>
      <w:r>
        <w:rPr>
          <w:rFonts w:ascii="Times New Roman" w:eastAsia="Times New Roman" w:hAnsi="Times New Roman" w:cs="Times New Roman"/>
          <w:sz w:val="26"/>
          <w:szCs w:val="26"/>
        </w:rPr>
        <w:t xml:space="preserve"> </w:t>
      </w:r>
    </w:p>
    <w:p w14:paraId="00C31860"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578AD817"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14.1</w:t>
      </w:r>
      <w:r>
        <w:rPr>
          <w:rFonts w:ascii="Times New Roman" w:eastAsia="Times New Roman" w:hAnsi="Times New Roman" w:cs="Times New Roman"/>
          <w:sz w:val="26"/>
          <w:szCs w:val="26"/>
        </w:rPr>
        <w:t xml:space="preserve"> A interposição de recurso referente ao julgamento das propostas, à habilitação ou inabilitação de licitantes, à anulação ou revogação da licitação, observará o disposto no art. 165 da Lei nº 14.133, de 2021. </w:t>
      </w:r>
    </w:p>
    <w:p w14:paraId="0490D38F"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14.2</w:t>
      </w:r>
      <w:r>
        <w:rPr>
          <w:rFonts w:ascii="Times New Roman" w:eastAsia="Times New Roman" w:hAnsi="Times New Roman" w:cs="Times New Roman"/>
          <w:sz w:val="26"/>
          <w:szCs w:val="26"/>
        </w:rPr>
        <w:t xml:space="preserve"> O prazo recursal é de 3 (três) dias úteis, contados da data de intimação ou de lavratura da ata. </w:t>
      </w:r>
    </w:p>
    <w:p w14:paraId="4310D4CA"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14.3</w:t>
      </w:r>
      <w:r>
        <w:rPr>
          <w:rFonts w:ascii="Times New Roman" w:eastAsia="Times New Roman" w:hAnsi="Times New Roman" w:cs="Times New Roman"/>
          <w:sz w:val="26"/>
          <w:szCs w:val="26"/>
        </w:rPr>
        <w:t xml:space="preserve"> Quando o recurso apresentado impugnar o julgamento das propostas ou o ato de habilitação ou inabilitação do licitante: </w:t>
      </w:r>
    </w:p>
    <w:p w14:paraId="77C019ED"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14.3.1</w:t>
      </w:r>
      <w:r>
        <w:rPr>
          <w:rFonts w:ascii="Times New Roman" w:eastAsia="Times New Roman" w:hAnsi="Times New Roman" w:cs="Times New Roman"/>
          <w:sz w:val="26"/>
          <w:szCs w:val="26"/>
        </w:rPr>
        <w:t xml:space="preserve"> a intenção de recorrer deverá ser manifestada imediatamente, sob pena de preclusão; </w:t>
      </w:r>
    </w:p>
    <w:p w14:paraId="1FAFA36B"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14.3.2 </w:t>
      </w:r>
      <w:r>
        <w:rPr>
          <w:rFonts w:ascii="Times New Roman" w:eastAsia="Times New Roman" w:hAnsi="Times New Roman" w:cs="Times New Roman"/>
          <w:sz w:val="26"/>
          <w:szCs w:val="26"/>
        </w:rPr>
        <w:t xml:space="preserve">o prazo para a manifestação da intenção de recorrer não será inferior a 10 (dez) minutos. </w:t>
      </w:r>
    </w:p>
    <w:p w14:paraId="301CFF56"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14.3.3 </w:t>
      </w:r>
      <w:r>
        <w:rPr>
          <w:rFonts w:ascii="Times New Roman" w:eastAsia="Times New Roman" w:hAnsi="Times New Roman" w:cs="Times New Roman"/>
          <w:sz w:val="26"/>
          <w:szCs w:val="26"/>
        </w:rPr>
        <w:t xml:space="preserve">o prazo para apresentação das razões recursais será iniciado na data de intimação ou de lavratura da ata de habilitação ou inabilitação; </w:t>
      </w:r>
    </w:p>
    <w:p w14:paraId="637C5A4F"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14.3.4</w:t>
      </w:r>
      <w:r>
        <w:rPr>
          <w:rFonts w:ascii="Times New Roman" w:eastAsia="Times New Roman" w:hAnsi="Times New Roman" w:cs="Times New Roman"/>
          <w:sz w:val="26"/>
          <w:szCs w:val="26"/>
        </w:rPr>
        <w:t xml:space="preserve"> na hipótese de adoção da inversão de fases prevista no § 1º do art. 17 da Lei nº 14.133, de 2021, o prazo para apresentação das razões recursais será iniciado na data de intimação da ata de julgamento. </w:t>
      </w:r>
    </w:p>
    <w:p w14:paraId="34A18143"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14.4</w:t>
      </w:r>
      <w:r>
        <w:rPr>
          <w:rFonts w:ascii="Times New Roman" w:eastAsia="Times New Roman" w:hAnsi="Times New Roman" w:cs="Times New Roman"/>
          <w:sz w:val="26"/>
          <w:szCs w:val="26"/>
        </w:rPr>
        <w:t xml:space="preserve"> Os recursos deverão ser encaminhados em campo próprio do sistema. </w:t>
      </w:r>
    </w:p>
    <w:p w14:paraId="32E8A4C8"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14.5</w:t>
      </w:r>
      <w:r>
        <w:rPr>
          <w:rFonts w:ascii="Times New Roman" w:eastAsia="Times New Roman" w:hAnsi="Times New Roman" w:cs="Times New Roman"/>
          <w:sz w:val="26"/>
          <w:szCs w:val="26"/>
        </w:rPr>
        <w:t xml:space="preserve"> 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 </w:t>
      </w:r>
    </w:p>
    <w:p w14:paraId="22066466"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14.6</w:t>
      </w:r>
      <w:r>
        <w:rPr>
          <w:rFonts w:ascii="Times New Roman" w:eastAsia="Times New Roman" w:hAnsi="Times New Roman" w:cs="Times New Roman"/>
          <w:sz w:val="26"/>
          <w:szCs w:val="26"/>
        </w:rPr>
        <w:t xml:space="preserve"> Os recursos interpostos fora do prazo não serão conhecidos. </w:t>
      </w:r>
    </w:p>
    <w:p w14:paraId="6A466B6D"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14.7 </w:t>
      </w:r>
      <w:r>
        <w:rPr>
          <w:rFonts w:ascii="Times New Roman" w:eastAsia="Times New Roman" w:hAnsi="Times New Roman" w:cs="Times New Roman"/>
          <w:sz w:val="26"/>
          <w:szCs w:val="26"/>
        </w:rPr>
        <w:t xml:space="preserve">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 </w:t>
      </w:r>
    </w:p>
    <w:p w14:paraId="2A9434A7"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14.8</w:t>
      </w:r>
      <w:r>
        <w:rPr>
          <w:rFonts w:ascii="Times New Roman" w:eastAsia="Times New Roman" w:hAnsi="Times New Roman" w:cs="Times New Roman"/>
          <w:sz w:val="26"/>
          <w:szCs w:val="26"/>
        </w:rPr>
        <w:t xml:space="preserve"> O recurso e o pedido de reconsideração terão efeito suspensivo do ato ou da decisão recorrida até que sobrevenha decisão final da autoridade competente. </w:t>
      </w:r>
    </w:p>
    <w:p w14:paraId="12B4AE68"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14.9</w:t>
      </w:r>
      <w:r>
        <w:rPr>
          <w:rFonts w:ascii="Times New Roman" w:eastAsia="Times New Roman" w:hAnsi="Times New Roman" w:cs="Times New Roman"/>
          <w:sz w:val="26"/>
          <w:szCs w:val="26"/>
        </w:rPr>
        <w:t xml:space="preserve"> O acolhimento do recurso invalida tão somente os atos insuscetíveis de aproveitamento. </w:t>
      </w:r>
    </w:p>
    <w:p w14:paraId="3893870D"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lastRenderedPageBreak/>
        <w:t xml:space="preserve"> </w:t>
      </w:r>
    </w:p>
    <w:p w14:paraId="0EB0CB34"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 DAS INFRAÇÕES ADMINISTRATIVAS E SANÇÕES</w:t>
      </w:r>
      <w:r>
        <w:rPr>
          <w:rFonts w:ascii="Times New Roman" w:eastAsia="Times New Roman" w:hAnsi="Times New Roman" w:cs="Times New Roman"/>
          <w:sz w:val="26"/>
          <w:szCs w:val="26"/>
        </w:rPr>
        <w:t xml:space="preserve"> </w:t>
      </w:r>
    </w:p>
    <w:p w14:paraId="2F703653"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7EE0DCF9"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15.1</w:t>
      </w:r>
      <w:r>
        <w:rPr>
          <w:rFonts w:ascii="Times New Roman" w:eastAsia="Times New Roman" w:hAnsi="Times New Roman" w:cs="Times New Roman"/>
          <w:sz w:val="26"/>
          <w:szCs w:val="26"/>
        </w:rPr>
        <w:t xml:space="preserve"> Comete infração administrativa, nos termos da lei, o licitante que, com dolo ou culpa: </w:t>
      </w:r>
    </w:p>
    <w:p w14:paraId="138A3FF6"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15.1.1</w:t>
      </w:r>
      <w:r>
        <w:rPr>
          <w:rFonts w:ascii="Times New Roman" w:eastAsia="Times New Roman" w:hAnsi="Times New Roman" w:cs="Times New Roman"/>
          <w:sz w:val="26"/>
          <w:szCs w:val="26"/>
        </w:rPr>
        <w:t xml:space="preserve"> deixar de entregar a documentação exigida para o certame ou não entregar qualquer documento que tenha sido solicitado pelo/a pregoeiro/a durante o certame; </w:t>
      </w:r>
    </w:p>
    <w:p w14:paraId="39C46B74"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15.1.2</w:t>
      </w:r>
      <w:r>
        <w:rPr>
          <w:rFonts w:ascii="Times New Roman" w:eastAsia="Times New Roman" w:hAnsi="Times New Roman" w:cs="Times New Roman"/>
          <w:sz w:val="26"/>
          <w:szCs w:val="26"/>
        </w:rPr>
        <w:t xml:space="preserve"> Salvo em decorrência de fato superveniente devidamente justificado, não mantiver a proposta em especial quando: </w:t>
      </w:r>
    </w:p>
    <w:p w14:paraId="3F5B05A0"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720"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15.1.2.1</w:t>
      </w:r>
      <w:r>
        <w:rPr>
          <w:rFonts w:ascii="Times New Roman" w:eastAsia="Times New Roman" w:hAnsi="Times New Roman" w:cs="Times New Roman"/>
          <w:sz w:val="26"/>
          <w:szCs w:val="26"/>
        </w:rPr>
        <w:t xml:space="preserve"> não enviar a proposta adequada ao último lance ofertado ou após a negociação; </w:t>
      </w:r>
    </w:p>
    <w:p w14:paraId="21F3A5B7"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720"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15.1.2.2</w:t>
      </w:r>
      <w:r>
        <w:rPr>
          <w:rFonts w:ascii="Times New Roman" w:eastAsia="Times New Roman" w:hAnsi="Times New Roman" w:cs="Times New Roman"/>
          <w:sz w:val="26"/>
          <w:szCs w:val="26"/>
        </w:rPr>
        <w:t xml:space="preserve"> recusar-se a enviar o detalhamento da proposta quando exigível; </w:t>
      </w:r>
    </w:p>
    <w:p w14:paraId="1B29281D"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720"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15.1.2.3</w:t>
      </w:r>
      <w:r>
        <w:rPr>
          <w:rFonts w:ascii="Times New Roman" w:eastAsia="Times New Roman" w:hAnsi="Times New Roman" w:cs="Times New Roman"/>
          <w:sz w:val="26"/>
          <w:szCs w:val="26"/>
        </w:rPr>
        <w:t xml:space="preserve"> pedir para ser desclassificado quando encerrada a etapa competitiva; ou </w:t>
      </w:r>
    </w:p>
    <w:p w14:paraId="14F490B8"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720"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15.1.2.4</w:t>
      </w:r>
      <w:r>
        <w:rPr>
          <w:rFonts w:ascii="Times New Roman" w:eastAsia="Times New Roman" w:hAnsi="Times New Roman" w:cs="Times New Roman"/>
          <w:sz w:val="26"/>
          <w:szCs w:val="26"/>
        </w:rPr>
        <w:t xml:space="preserve"> deixar de apresentar amostra; </w:t>
      </w:r>
    </w:p>
    <w:p w14:paraId="05608E75"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720"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15.1.2.5</w:t>
      </w:r>
      <w:r>
        <w:rPr>
          <w:rFonts w:ascii="Times New Roman" w:eastAsia="Times New Roman" w:hAnsi="Times New Roman" w:cs="Times New Roman"/>
          <w:sz w:val="26"/>
          <w:szCs w:val="26"/>
        </w:rPr>
        <w:t xml:space="preserve"> apresentar proposta ou amostra em desacordo com as especificações do edital; </w:t>
      </w:r>
    </w:p>
    <w:p w14:paraId="6445C70A"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15.1.3</w:t>
      </w:r>
      <w:r>
        <w:rPr>
          <w:rFonts w:ascii="Times New Roman" w:eastAsia="Times New Roman" w:hAnsi="Times New Roman" w:cs="Times New Roman"/>
          <w:sz w:val="26"/>
          <w:szCs w:val="26"/>
        </w:rPr>
        <w:t xml:space="preserve"> não celebrar o contrato ou não entregar a documentação exigida para a contratação, quando convocado dentro do prazo de validade de sua proposta; </w:t>
      </w:r>
    </w:p>
    <w:p w14:paraId="63F1AEBC"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720"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15.1.3.1</w:t>
      </w:r>
      <w:r>
        <w:rPr>
          <w:rFonts w:ascii="Times New Roman" w:eastAsia="Times New Roman" w:hAnsi="Times New Roman" w:cs="Times New Roman"/>
          <w:sz w:val="26"/>
          <w:szCs w:val="26"/>
        </w:rPr>
        <w:t xml:space="preserve"> recusar-se, sem justificativa, a assinar o contrato ou a ata de registro de preço, ou a aceitar ou retirar o instrumento equivalente no prazo estabelecido pela Administração; </w:t>
      </w:r>
    </w:p>
    <w:p w14:paraId="49C955E9"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15.1.4</w:t>
      </w:r>
      <w:r>
        <w:rPr>
          <w:rFonts w:ascii="Times New Roman" w:eastAsia="Times New Roman" w:hAnsi="Times New Roman" w:cs="Times New Roman"/>
          <w:sz w:val="26"/>
          <w:szCs w:val="26"/>
        </w:rPr>
        <w:t xml:space="preserve"> apresentar declaração ou documentação falsa exigida para o certame ou prestar declaração falsa durante a licitação </w:t>
      </w:r>
    </w:p>
    <w:p w14:paraId="4BF1AFE6"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15.1.5</w:t>
      </w:r>
      <w:r>
        <w:rPr>
          <w:rFonts w:ascii="Times New Roman" w:eastAsia="Times New Roman" w:hAnsi="Times New Roman" w:cs="Times New Roman"/>
          <w:sz w:val="26"/>
          <w:szCs w:val="26"/>
        </w:rPr>
        <w:t xml:space="preserve"> fraudar a licitação </w:t>
      </w:r>
    </w:p>
    <w:p w14:paraId="11F5E5BF"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15.1.6</w:t>
      </w:r>
      <w:r>
        <w:rPr>
          <w:rFonts w:ascii="Times New Roman" w:eastAsia="Times New Roman" w:hAnsi="Times New Roman" w:cs="Times New Roman"/>
          <w:sz w:val="26"/>
          <w:szCs w:val="26"/>
        </w:rPr>
        <w:t xml:space="preserve"> comportar-se de modo inidôneo ou cometer fraude de qualquer natureza, em especial quando: </w:t>
      </w:r>
    </w:p>
    <w:p w14:paraId="217B860A"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720"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15.1.6.1</w:t>
      </w:r>
      <w:r>
        <w:rPr>
          <w:rFonts w:ascii="Times New Roman" w:eastAsia="Times New Roman" w:hAnsi="Times New Roman" w:cs="Times New Roman"/>
          <w:sz w:val="26"/>
          <w:szCs w:val="26"/>
        </w:rPr>
        <w:t xml:space="preserve"> agir em conluio ou em desconformidade com a lei; </w:t>
      </w:r>
    </w:p>
    <w:p w14:paraId="1AD1E336"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44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15.1.6.2</w:t>
      </w:r>
      <w:r>
        <w:rPr>
          <w:rFonts w:ascii="Times New Roman" w:eastAsia="Times New Roman" w:hAnsi="Times New Roman" w:cs="Times New Roman"/>
          <w:sz w:val="26"/>
          <w:szCs w:val="26"/>
        </w:rPr>
        <w:t xml:space="preserve"> induzir deliberadamente a erro no julgamento; </w:t>
      </w:r>
    </w:p>
    <w:p w14:paraId="01063D3A"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720"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15.1.6.3 </w:t>
      </w:r>
      <w:r>
        <w:rPr>
          <w:rFonts w:ascii="Times New Roman" w:eastAsia="Times New Roman" w:hAnsi="Times New Roman" w:cs="Times New Roman"/>
          <w:sz w:val="26"/>
          <w:szCs w:val="26"/>
        </w:rPr>
        <w:t xml:space="preserve">apresentar amostra falsificada ou deteriorada; </w:t>
      </w:r>
    </w:p>
    <w:p w14:paraId="67678CCB"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15.1.4</w:t>
      </w:r>
      <w:r>
        <w:rPr>
          <w:rFonts w:ascii="Times New Roman" w:eastAsia="Times New Roman" w:hAnsi="Times New Roman" w:cs="Times New Roman"/>
          <w:sz w:val="26"/>
          <w:szCs w:val="26"/>
        </w:rPr>
        <w:t xml:space="preserve"> praticar atos ilícitos com vistas a frustrar os objetivos da licitação </w:t>
      </w:r>
    </w:p>
    <w:p w14:paraId="0A9146D4"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15.1.5</w:t>
      </w:r>
      <w:r>
        <w:rPr>
          <w:rFonts w:ascii="Times New Roman" w:eastAsia="Times New Roman" w:hAnsi="Times New Roman" w:cs="Times New Roman"/>
          <w:sz w:val="26"/>
          <w:szCs w:val="26"/>
        </w:rPr>
        <w:t xml:space="preserve"> praticar ato lesivo previsto no art. 5º da Lei n.º 12.846, de 2013. </w:t>
      </w:r>
    </w:p>
    <w:p w14:paraId="0256F45B"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15.2 </w:t>
      </w:r>
      <w:r>
        <w:rPr>
          <w:rFonts w:ascii="Times New Roman" w:eastAsia="Times New Roman" w:hAnsi="Times New Roman" w:cs="Times New Roman"/>
          <w:sz w:val="26"/>
          <w:szCs w:val="26"/>
        </w:rPr>
        <w:t xml:space="preserve">Com fulcro na Lei nº 14.133, de 2021, a Administração poderá, garantida a prévia defesa, aplicar aos licitantes e/ou adjudicatários as seguintes sanções, sem prejuízo das responsabilidades civil e criminal: </w:t>
      </w:r>
    </w:p>
    <w:p w14:paraId="5CE90985"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15.2.1</w:t>
      </w:r>
      <w:r>
        <w:rPr>
          <w:rFonts w:ascii="Times New Roman" w:eastAsia="Times New Roman" w:hAnsi="Times New Roman" w:cs="Times New Roman"/>
          <w:sz w:val="26"/>
          <w:szCs w:val="26"/>
        </w:rPr>
        <w:t xml:space="preserve"> advertência; </w:t>
      </w:r>
    </w:p>
    <w:p w14:paraId="731F1193"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15.2.2</w:t>
      </w:r>
      <w:r>
        <w:rPr>
          <w:rFonts w:ascii="Times New Roman" w:eastAsia="Times New Roman" w:hAnsi="Times New Roman" w:cs="Times New Roman"/>
          <w:sz w:val="26"/>
          <w:szCs w:val="26"/>
        </w:rPr>
        <w:t xml:space="preserve"> multa; </w:t>
      </w:r>
    </w:p>
    <w:p w14:paraId="09F23894"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15.2.3</w:t>
      </w:r>
      <w:r>
        <w:rPr>
          <w:rFonts w:ascii="Times New Roman" w:eastAsia="Times New Roman" w:hAnsi="Times New Roman" w:cs="Times New Roman"/>
          <w:sz w:val="26"/>
          <w:szCs w:val="26"/>
        </w:rPr>
        <w:t xml:space="preserve"> impedimento de licitar e contratar e </w:t>
      </w:r>
    </w:p>
    <w:p w14:paraId="2C714921"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15.2.4</w:t>
      </w:r>
      <w:r>
        <w:rPr>
          <w:rFonts w:ascii="Times New Roman" w:eastAsia="Times New Roman" w:hAnsi="Times New Roman" w:cs="Times New Roman"/>
          <w:sz w:val="26"/>
          <w:szCs w:val="26"/>
        </w:rPr>
        <w:t xml:space="preserve"> declaração de inidoneidade para licitar ou contratar, enquanto perdurarem os motivos determinantes da punição ou até que seja promovida sua reabilitação perante a própria autoridade que aplicou a penalidade. </w:t>
      </w:r>
    </w:p>
    <w:p w14:paraId="110F35C8"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16.3</w:t>
      </w:r>
      <w:r>
        <w:rPr>
          <w:rFonts w:ascii="Times New Roman" w:eastAsia="Times New Roman" w:hAnsi="Times New Roman" w:cs="Times New Roman"/>
          <w:sz w:val="26"/>
          <w:szCs w:val="26"/>
        </w:rPr>
        <w:t xml:space="preserve"> Na aplicação das sanções serão considerados: </w:t>
      </w:r>
    </w:p>
    <w:p w14:paraId="0F8EF561"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15.3.1</w:t>
      </w:r>
      <w:r>
        <w:rPr>
          <w:rFonts w:ascii="Times New Roman" w:eastAsia="Times New Roman" w:hAnsi="Times New Roman" w:cs="Times New Roman"/>
          <w:sz w:val="26"/>
          <w:szCs w:val="26"/>
        </w:rPr>
        <w:t xml:space="preserve"> a natureza e a gravidade da infração cometida. </w:t>
      </w:r>
    </w:p>
    <w:p w14:paraId="7A6834CB"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15.3.2 </w:t>
      </w:r>
      <w:r>
        <w:rPr>
          <w:rFonts w:ascii="Times New Roman" w:eastAsia="Times New Roman" w:hAnsi="Times New Roman" w:cs="Times New Roman"/>
          <w:sz w:val="26"/>
          <w:szCs w:val="26"/>
        </w:rPr>
        <w:t xml:space="preserve">as peculiaridades do caso concreto </w:t>
      </w:r>
    </w:p>
    <w:p w14:paraId="0ABE568C"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15.3.3</w:t>
      </w:r>
      <w:r>
        <w:rPr>
          <w:rFonts w:ascii="Times New Roman" w:eastAsia="Times New Roman" w:hAnsi="Times New Roman" w:cs="Times New Roman"/>
          <w:sz w:val="26"/>
          <w:szCs w:val="26"/>
        </w:rPr>
        <w:t xml:space="preserve"> as circunstâncias agravantes ou atenuantes </w:t>
      </w:r>
    </w:p>
    <w:p w14:paraId="430AE3A5"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15.3.4</w:t>
      </w:r>
      <w:r>
        <w:rPr>
          <w:rFonts w:ascii="Times New Roman" w:eastAsia="Times New Roman" w:hAnsi="Times New Roman" w:cs="Times New Roman"/>
          <w:sz w:val="26"/>
          <w:szCs w:val="26"/>
        </w:rPr>
        <w:t xml:space="preserve"> os danos que dela provierem para a Administração Pública </w:t>
      </w:r>
    </w:p>
    <w:p w14:paraId="13CBFFEB"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15.3.5</w:t>
      </w:r>
      <w:r>
        <w:rPr>
          <w:rFonts w:ascii="Times New Roman" w:eastAsia="Times New Roman" w:hAnsi="Times New Roman" w:cs="Times New Roman"/>
          <w:sz w:val="26"/>
          <w:szCs w:val="26"/>
        </w:rPr>
        <w:t xml:space="preserve"> a implantação ou o aperfeiçoamento de programa de integridade, conforme normas e orientações dos órgãos de controle. </w:t>
      </w:r>
    </w:p>
    <w:p w14:paraId="14259F15"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15.4</w:t>
      </w:r>
      <w:r>
        <w:rPr>
          <w:rFonts w:ascii="Times New Roman" w:eastAsia="Times New Roman" w:hAnsi="Times New Roman" w:cs="Times New Roman"/>
          <w:sz w:val="26"/>
          <w:szCs w:val="26"/>
        </w:rPr>
        <w:t xml:space="preserve"> A multa será recolhida em percentual de 0,5% a 30% incidente sobre o valor do contrato licitado. </w:t>
      </w:r>
    </w:p>
    <w:p w14:paraId="0254B1C3"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15.4.1</w:t>
      </w:r>
      <w:r>
        <w:rPr>
          <w:rFonts w:ascii="Times New Roman" w:eastAsia="Times New Roman" w:hAnsi="Times New Roman" w:cs="Times New Roman"/>
          <w:sz w:val="26"/>
          <w:szCs w:val="26"/>
        </w:rPr>
        <w:t xml:space="preserve"> Para as infrações previstas nos itens 15.1.1, 15.1.2 e 15.1.3, a multa será de 0,5% a 15% do valor do contrato licitado. </w:t>
      </w:r>
    </w:p>
    <w:p w14:paraId="0634441C"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15.4.2</w:t>
      </w:r>
      <w:r>
        <w:rPr>
          <w:rFonts w:ascii="Times New Roman" w:eastAsia="Times New Roman" w:hAnsi="Times New Roman" w:cs="Times New Roman"/>
          <w:sz w:val="26"/>
          <w:szCs w:val="26"/>
        </w:rPr>
        <w:t xml:space="preserve"> Para as infrações previstas nos itens 15.1.4, 15.1.5, 15.1.6, 15.1.7 e 15.1.8, a multa será de 15% a 30% do valor do contrato licitado. </w:t>
      </w:r>
    </w:p>
    <w:p w14:paraId="1E25977B"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15.5 </w:t>
      </w:r>
      <w:r>
        <w:rPr>
          <w:rFonts w:ascii="Times New Roman" w:eastAsia="Times New Roman" w:hAnsi="Times New Roman" w:cs="Times New Roman"/>
          <w:sz w:val="26"/>
          <w:szCs w:val="26"/>
        </w:rPr>
        <w:t xml:space="preserve">As sanções de advertência, impedimento de licitar e contratar e declaração de inidoneidade para licitar ou contratar poderão ser aplicadas, cumulativamente ou não, à penalidade de multa. </w:t>
      </w:r>
    </w:p>
    <w:p w14:paraId="233101B9"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15.6</w:t>
      </w:r>
      <w:r>
        <w:rPr>
          <w:rFonts w:ascii="Times New Roman" w:eastAsia="Times New Roman" w:hAnsi="Times New Roman" w:cs="Times New Roman"/>
          <w:sz w:val="26"/>
          <w:szCs w:val="26"/>
        </w:rPr>
        <w:t xml:space="preserve"> Na aplicação da sanção de multa será facultada a defesa do interessado no prazo de 15 (quinze) dias úteis, contado da data de sua intimação. </w:t>
      </w:r>
    </w:p>
    <w:p w14:paraId="2A1BDBB4"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15.7 </w:t>
      </w:r>
      <w:r>
        <w:rPr>
          <w:rFonts w:ascii="Times New Roman" w:eastAsia="Times New Roman" w:hAnsi="Times New Roman" w:cs="Times New Roman"/>
          <w:sz w:val="26"/>
          <w:szCs w:val="26"/>
        </w:rPr>
        <w:t xml:space="preserve">A sanção de impedimento de licitar e contratar será aplicada ao responsável em decorrência das infrações administrativas relacionadas nos itens 15.1.1, 15.1.2 e 15.1.3, quando não se justificar a imposição de penalidade mais grave, e impedirá o responsável de licitar e contratar no âmbito da Administração Pública direta e indireta do ente federativo a qual pertencer o órgão ou entidade, pelo prazo máximo de 3 (três) anos. </w:t>
      </w:r>
    </w:p>
    <w:p w14:paraId="09C86126"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15.8</w:t>
      </w:r>
      <w:r>
        <w:rPr>
          <w:rFonts w:ascii="Times New Roman" w:eastAsia="Times New Roman" w:hAnsi="Times New Roman" w:cs="Times New Roman"/>
          <w:sz w:val="26"/>
          <w:szCs w:val="26"/>
        </w:rPr>
        <w:t xml:space="preserve"> Poderá ser aplicada ao responsável a sanção de declaração de inidoneidade para licitar ou contratar, em decorrência da prática das infrações dispostas nos itens 15.1.4, 15.1.5, 15.1.6, 15.1.7 e 15.1.8, bem como pelas infrações administrativas previstas nos itens 15.1.1, 15.1.2 e 15.1.3 que justifiquem a imposição de penalidade mais grave que a sanção de impedimento de licitar e contratar, cuja duração observará o prazo previsto no art. 156, §5º, da Lei n.º 14.133/2021. </w:t>
      </w:r>
    </w:p>
    <w:p w14:paraId="674394FB"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15.9</w:t>
      </w:r>
      <w:r>
        <w:rPr>
          <w:rFonts w:ascii="Times New Roman" w:eastAsia="Times New Roman" w:hAnsi="Times New Roman" w:cs="Times New Roman"/>
          <w:sz w:val="26"/>
          <w:szCs w:val="26"/>
        </w:rPr>
        <w:t xml:space="preserve"> A recusa injustificada do adjudicatário em assinar o contrato ou a ata de registro de preço, ou em aceitar ou retirar o instrumento equivalente no prazo estabelecido pela Administração, descrita no item 16.1.3, caracterizará o descumprimento total da obrigação assumida e o sujeitará às penalidades e à imediata perda da garantia de proposta em favor do órgão ou entidade promotora da licitação, nos termos do art. 45, §4º da IN SEGES/ME n.º 73, de 2022. </w:t>
      </w:r>
    </w:p>
    <w:p w14:paraId="26B73CC9"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15.10</w:t>
      </w:r>
      <w:r>
        <w:rPr>
          <w:rFonts w:ascii="Times New Roman" w:eastAsia="Times New Roman" w:hAnsi="Times New Roman" w:cs="Times New Roman"/>
          <w:sz w:val="26"/>
          <w:szCs w:val="26"/>
        </w:rPr>
        <w:t xml:space="preserve"> 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p>
    <w:p w14:paraId="5EA3B3D9"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15.11</w:t>
      </w:r>
      <w:r>
        <w:rPr>
          <w:rFonts w:ascii="Times New Roman" w:eastAsia="Times New Roman" w:hAnsi="Times New Roman" w:cs="Times New Roman"/>
          <w:sz w:val="26"/>
          <w:szCs w:val="26"/>
        </w:rPr>
        <w:t xml:space="preserve"> 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 </w:t>
      </w:r>
    </w:p>
    <w:p w14:paraId="49377AF3"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15.12</w:t>
      </w:r>
      <w:r>
        <w:rPr>
          <w:rFonts w:ascii="Times New Roman" w:eastAsia="Times New Roman" w:hAnsi="Times New Roman" w:cs="Times New Roman"/>
          <w:sz w:val="26"/>
          <w:szCs w:val="26"/>
        </w:rPr>
        <w:t xml:space="preserve"> 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 </w:t>
      </w:r>
    </w:p>
    <w:p w14:paraId="7074A46D"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15.13 </w:t>
      </w:r>
      <w:r>
        <w:rPr>
          <w:rFonts w:ascii="Times New Roman" w:eastAsia="Times New Roman" w:hAnsi="Times New Roman" w:cs="Times New Roman"/>
          <w:sz w:val="26"/>
          <w:szCs w:val="26"/>
        </w:rPr>
        <w:t xml:space="preserve">O recurso e o pedido de reconsideração terão efeito suspensivo do ato ou da decisão recorrida até que sobrevenha decisão final da autoridade competente. </w:t>
      </w:r>
    </w:p>
    <w:p w14:paraId="45D4D5DE"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15.14</w:t>
      </w:r>
      <w:r>
        <w:rPr>
          <w:rFonts w:ascii="Times New Roman" w:eastAsia="Times New Roman" w:hAnsi="Times New Roman" w:cs="Times New Roman"/>
          <w:sz w:val="26"/>
          <w:szCs w:val="26"/>
        </w:rPr>
        <w:t xml:space="preserve"> A aplicação das sanções previstas neste edital não exclui, em hipótese alguma, a obrigação de reparação integral dos danos causados. </w:t>
      </w:r>
    </w:p>
    <w:p w14:paraId="111D91A0"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366850C9"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 DA IMPUGNAÇÃO AO EDITAL E DO PEDIDO DE ESCLARECIMENTO</w:t>
      </w:r>
      <w:r>
        <w:rPr>
          <w:rFonts w:ascii="Times New Roman" w:eastAsia="Times New Roman" w:hAnsi="Times New Roman" w:cs="Times New Roman"/>
          <w:sz w:val="26"/>
          <w:szCs w:val="26"/>
        </w:rPr>
        <w:t xml:space="preserve"> </w:t>
      </w:r>
    </w:p>
    <w:p w14:paraId="5AF0088F"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4585321C"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16.1</w:t>
      </w:r>
      <w:r>
        <w:rPr>
          <w:rFonts w:ascii="Times New Roman" w:eastAsia="Times New Roman" w:hAnsi="Times New Roman" w:cs="Times New Roman"/>
          <w:sz w:val="26"/>
          <w:szCs w:val="26"/>
        </w:rPr>
        <w:t xml:space="preserve"> Qualquer pessoa é parte legítima para impugnar este Edital por irregularidade na aplicação da Lei nº 14.133, de 2021, devendo protocolar o pedido até 3 (três) dias úteis antes da data da abertura do certame. </w:t>
      </w:r>
    </w:p>
    <w:p w14:paraId="21E0460C"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16.2</w:t>
      </w:r>
      <w:r>
        <w:rPr>
          <w:rFonts w:ascii="Times New Roman" w:eastAsia="Times New Roman" w:hAnsi="Times New Roman" w:cs="Times New Roman"/>
          <w:sz w:val="26"/>
          <w:szCs w:val="26"/>
        </w:rPr>
        <w:t xml:space="preserve"> A resposta à impugnação ou ao pedido de esclarecimento será divulgado em sítio eletrônico oficial no prazo de até 3 (três) dias úteis, limitado ao último dia útil anterior à data da abertura do certame. </w:t>
      </w:r>
    </w:p>
    <w:p w14:paraId="33EC0716"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16.3</w:t>
      </w:r>
      <w:r>
        <w:rPr>
          <w:rFonts w:ascii="Times New Roman" w:eastAsia="Times New Roman" w:hAnsi="Times New Roman" w:cs="Times New Roman"/>
          <w:sz w:val="26"/>
          <w:szCs w:val="26"/>
        </w:rPr>
        <w:t xml:space="preserve"> A impugnação e o pedido de esclarecimento poderão ser realizados por forma eletrônica, pelos seguintes meios: enviadas para o e-mail </w:t>
      </w:r>
      <w:r>
        <w:rPr>
          <w:rFonts w:ascii="Times New Roman" w:eastAsia="Times New Roman" w:hAnsi="Times New Roman" w:cs="Times New Roman"/>
          <w:color w:val="0000FF"/>
          <w:sz w:val="26"/>
          <w:szCs w:val="26"/>
          <w:u w:val="single"/>
        </w:rPr>
        <w:t>licitacao@mococa.sp.leg.br</w:t>
      </w:r>
      <w:r>
        <w:rPr>
          <w:rFonts w:ascii="Times New Roman" w:eastAsia="Times New Roman" w:hAnsi="Times New Roman" w:cs="Times New Roman"/>
          <w:sz w:val="26"/>
          <w:szCs w:val="26"/>
        </w:rPr>
        <w:t xml:space="preserve">  </w:t>
      </w:r>
    </w:p>
    <w:p w14:paraId="00D8B0D6"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16.4</w:t>
      </w:r>
      <w:r>
        <w:rPr>
          <w:rFonts w:ascii="Times New Roman" w:eastAsia="Times New Roman" w:hAnsi="Times New Roman" w:cs="Times New Roman"/>
          <w:sz w:val="26"/>
          <w:szCs w:val="26"/>
        </w:rPr>
        <w:t xml:space="preserve"> As impugnações e pedidos de esclarecimentos não suspendem os prazos previstos no certame. </w:t>
      </w:r>
    </w:p>
    <w:p w14:paraId="1404AD0E"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16.5 </w:t>
      </w:r>
      <w:r>
        <w:rPr>
          <w:rFonts w:ascii="Times New Roman" w:eastAsia="Times New Roman" w:hAnsi="Times New Roman" w:cs="Times New Roman"/>
          <w:sz w:val="26"/>
          <w:szCs w:val="26"/>
        </w:rPr>
        <w:t xml:space="preserve">A concessão de efeito suspensivo à impugnação é medida excepcional e deverá ser motivada pelo agente de contratação, nos autos do processo de licitação. </w:t>
      </w:r>
    </w:p>
    <w:p w14:paraId="126FA51E"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16.6</w:t>
      </w:r>
      <w:r>
        <w:rPr>
          <w:rFonts w:ascii="Times New Roman" w:eastAsia="Times New Roman" w:hAnsi="Times New Roman" w:cs="Times New Roman"/>
          <w:sz w:val="26"/>
          <w:szCs w:val="26"/>
        </w:rPr>
        <w:t xml:space="preserve"> Acolhida a impugnação, será definida e publicada nova data para a realização do certame. </w:t>
      </w:r>
    </w:p>
    <w:p w14:paraId="601E2343"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7F3B9BBD"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17. DAS DISPOSIÇÕES GERAIS</w:t>
      </w:r>
      <w:r>
        <w:rPr>
          <w:rFonts w:ascii="Times New Roman" w:eastAsia="Times New Roman" w:hAnsi="Times New Roman" w:cs="Times New Roman"/>
          <w:sz w:val="26"/>
          <w:szCs w:val="26"/>
        </w:rPr>
        <w:t xml:space="preserve"> </w:t>
      </w:r>
    </w:p>
    <w:p w14:paraId="2CD29474"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2595E41C"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17.1</w:t>
      </w:r>
      <w:r>
        <w:rPr>
          <w:rFonts w:ascii="Times New Roman" w:eastAsia="Times New Roman" w:hAnsi="Times New Roman" w:cs="Times New Roman"/>
          <w:sz w:val="26"/>
          <w:szCs w:val="26"/>
        </w:rPr>
        <w:t xml:space="preserve"> Será divulgada ata da sessão pública no sistema eletrônico. </w:t>
      </w:r>
    </w:p>
    <w:p w14:paraId="025CC1F8"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17.2</w:t>
      </w:r>
      <w:r>
        <w:rPr>
          <w:rFonts w:ascii="Times New Roman" w:eastAsia="Times New Roman" w:hAnsi="Times New Roman" w:cs="Times New Roman"/>
          <w:sz w:val="26"/>
          <w:szCs w:val="26"/>
        </w:rPr>
        <w:t xml:space="preserve">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14:paraId="3B89F89F"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17.3 </w:t>
      </w:r>
      <w:r>
        <w:rPr>
          <w:rFonts w:ascii="Times New Roman" w:eastAsia="Times New Roman" w:hAnsi="Times New Roman" w:cs="Times New Roman"/>
          <w:sz w:val="26"/>
          <w:szCs w:val="26"/>
        </w:rPr>
        <w:t xml:space="preserve">Todas as referências de tempo no Edital, no aviso e durante a sessão pública observarão o horário de Brasília - DF. </w:t>
      </w:r>
    </w:p>
    <w:p w14:paraId="3713C814"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17.4 </w:t>
      </w:r>
      <w:r>
        <w:rPr>
          <w:rFonts w:ascii="Times New Roman" w:eastAsia="Times New Roman" w:hAnsi="Times New Roman" w:cs="Times New Roman"/>
          <w:sz w:val="26"/>
          <w:szCs w:val="26"/>
        </w:rPr>
        <w:t xml:space="preserve">A homologação do resultado desta licitação não implicará direito à contratação. </w:t>
      </w:r>
    </w:p>
    <w:p w14:paraId="0CEF695B"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17.5 </w:t>
      </w:r>
      <w:r>
        <w:rPr>
          <w:rFonts w:ascii="Times New Roman" w:eastAsia="Times New Roman" w:hAnsi="Times New Roman" w:cs="Times New Roman"/>
          <w:sz w:val="26"/>
          <w:szCs w:val="26"/>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57A9837A"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17.6</w:t>
      </w:r>
      <w:r>
        <w:rPr>
          <w:rFonts w:ascii="Times New Roman" w:eastAsia="Times New Roman" w:hAnsi="Times New Roman" w:cs="Times New Roman"/>
          <w:sz w:val="26"/>
          <w:szCs w:val="26"/>
        </w:rPr>
        <w:t xml:space="preserve"> Os licitantes assumem todos os custos de preparação e apresentação de suas propostas e a Administração não será, em nenhum caso, responsável por esses custos, independentemente da condução ou do resultado do processo licitatório. </w:t>
      </w:r>
    </w:p>
    <w:p w14:paraId="1D25BABC"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17.7</w:t>
      </w:r>
      <w:r>
        <w:rPr>
          <w:rFonts w:ascii="Times New Roman" w:eastAsia="Times New Roman" w:hAnsi="Times New Roman" w:cs="Times New Roman"/>
          <w:sz w:val="26"/>
          <w:szCs w:val="26"/>
        </w:rPr>
        <w:t xml:space="preserve"> Na contagem dos prazos estabelecidos neste Edital e seus Anexos, excluir-se-á o dia do início e incluir-se-á o do vencimento. Só se iniciam e vencem os prazos em dias de expediente na Administração. </w:t>
      </w:r>
    </w:p>
    <w:p w14:paraId="4B7988DA"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17.8</w:t>
      </w:r>
      <w:r>
        <w:rPr>
          <w:rFonts w:ascii="Times New Roman" w:eastAsia="Times New Roman" w:hAnsi="Times New Roman" w:cs="Times New Roman"/>
          <w:sz w:val="26"/>
          <w:szCs w:val="26"/>
        </w:rPr>
        <w:t xml:space="preserve"> O desatendimento de exigências formais não essenciais não importará o afastamento do licitante, desde que seja possível o aproveitamento do ato, observados os princípios da isonomia e do interesse público. </w:t>
      </w:r>
    </w:p>
    <w:p w14:paraId="1083E2C6"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17.9</w:t>
      </w:r>
      <w:r>
        <w:rPr>
          <w:rFonts w:ascii="Times New Roman" w:eastAsia="Times New Roman" w:hAnsi="Times New Roman" w:cs="Times New Roman"/>
          <w:sz w:val="26"/>
          <w:szCs w:val="26"/>
        </w:rPr>
        <w:t xml:space="preserve"> Em caso de divergência entre disposições deste Edital e de seus anexos ou demais peças que compõem o processo, prevalecerá as deste Edital. </w:t>
      </w:r>
    </w:p>
    <w:p w14:paraId="2E9F75A9" w14:textId="709A4A4C"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17.10 </w:t>
      </w:r>
      <w:r>
        <w:rPr>
          <w:rFonts w:ascii="Times New Roman" w:eastAsia="Times New Roman" w:hAnsi="Times New Roman" w:cs="Times New Roman"/>
          <w:sz w:val="26"/>
          <w:szCs w:val="26"/>
        </w:rPr>
        <w:t xml:space="preserve">O Edital e seus anexos estão disponíveis, na íntegra, no Portal Nacional de Contratações Públicas (PNCP) e endereço eletrônico: </w:t>
      </w:r>
      <w:hyperlink r:id="rId21">
        <w:r>
          <w:rPr>
            <w:rFonts w:ascii="Times New Roman" w:eastAsia="Times New Roman" w:hAnsi="Times New Roman" w:cs="Times New Roman"/>
            <w:color w:val="1155CC"/>
            <w:sz w:val="26"/>
            <w:szCs w:val="26"/>
            <w:u w:val="single"/>
          </w:rPr>
          <w:t>https://www.mococa.sp.leg.br/transparencia/licitacoes-e-contratos/edital-de-licitacao</w:t>
        </w:r>
      </w:hyperlink>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br/>
      </w:r>
      <w:r w:rsidR="00DD3235" w:rsidRPr="00DD3235">
        <w:rPr>
          <w:rFonts w:ascii="Times New Roman" w:eastAsia="Times New Roman" w:hAnsi="Times New Roman" w:cs="Times New Roman"/>
          <w:b/>
          <w:bCs/>
          <w:sz w:val="26"/>
          <w:szCs w:val="26"/>
        </w:rPr>
        <w:t>17</w:t>
      </w:r>
      <w:r w:rsidRPr="00DD3235">
        <w:rPr>
          <w:rFonts w:ascii="Times New Roman" w:eastAsia="Times New Roman" w:hAnsi="Times New Roman" w:cs="Times New Roman"/>
          <w:b/>
          <w:bCs/>
          <w:sz w:val="26"/>
          <w:szCs w:val="26"/>
        </w:rPr>
        <w:t>.1</w:t>
      </w:r>
      <w:r w:rsidR="00DD3235" w:rsidRPr="00DD3235">
        <w:rPr>
          <w:rFonts w:ascii="Times New Roman" w:eastAsia="Times New Roman" w:hAnsi="Times New Roman" w:cs="Times New Roman"/>
          <w:b/>
          <w:bCs/>
          <w:sz w:val="26"/>
          <w:szCs w:val="26"/>
        </w:rPr>
        <w:t>1</w:t>
      </w:r>
      <w:r>
        <w:rPr>
          <w:rFonts w:ascii="Times New Roman" w:eastAsia="Times New Roman" w:hAnsi="Times New Roman" w:cs="Times New Roman"/>
          <w:sz w:val="26"/>
          <w:szCs w:val="26"/>
        </w:rPr>
        <w:t xml:space="preserve"> Integram este Edital, para todos os fins e efeitos, os seguintes anexos: </w:t>
      </w:r>
    </w:p>
    <w:p w14:paraId="3671A2EC"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ANEXO I - Termo de Referência </w:t>
      </w:r>
    </w:p>
    <w:p w14:paraId="4083F8FF"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ANEXO II - Modelo de proposta</w:t>
      </w:r>
    </w:p>
    <w:p w14:paraId="21F4307F"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ANEXO III - Declarações diversas</w:t>
      </w:r>
    </w:p>
    <w:p w14:paraId="2FF53428" w14:textId="77777777" w:rsidR="00A05AD3" w:rsidRDefault="00A05AD3">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p>
    <w:p w14:paraId="6CDEA8F6"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br/>
      </w:r>
      <w:r>
        <w:rPr>
          <w:rFonts w:ascii="Times New Roman" w:eastAsia="Times New Roman" w:hAnsi="Times New Roman" w:cs="Times New Roman"/>
          <w:sz w:val="26"/>
          <w:szCs w:val="26"/>
        </w:rPr>
        <w:br/>
      </w:r>
      <w:r>
        <w:rPr>
          <w:rFonts w:ascii="Times New Roman" w:eastAsia="Times New Roman" w:hAnsi="Times New Roman" w:cs="Times New Roman"/>
          <w:sz w:val="26"/>
          <w:szCs w:val="26"/>
        </w:rPr>
        <w:br/>
      </w:r>
      <w:r>
        <w:rPr>
          <w:rFonts w:ascii="Times New Roman" w:eastAsia="Times New Roman" w:hAnsi="Times New Roman" w:cs="Times New Roman"/>
          <w:b/>
          <w:sz w:val="26"/>
          <w:szCs w:val="26"/>
        </w:rPr>
        <w:t>GUILHERME DE SOUZA GOMES</w:t>
      </w:r>
      <w:r>
        <w:rPr>
          <w:rFonts w:ascii="Times New Roman" w:eastAsia="Times New Roman" w:hAnsi="Times New Roman" w:cs="Times New Roman"/>
          <w:sz w:val="26"/>
          <w:szCs w:val="26"/>
        </w:rPr>
        <w:t xml:space="preserve"> </w:t>
      </w:r>
    </w:p>
    <w:p w14:paraId="3504DBAE"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Presidente</w:t>
      </w:r>
      <w:r>
        <w:rPr>
          <w:rFonts w:ascii="Times New Roman" w:eastAsia="Times New Roman" w:hAnsi="Times New Roman" w:cs="Times New Roman"/>
          <w:sz w:val="26"/>
          <w:szCs w:val="26"/>
        </w:rPr>
        <w:t xml:space="preserve"> </w:t>
      </w:r>
    </w:p>
    <w:p w14:paraId="166C74DC" w14:textId="77777777" w:rsidR="00A05AD3" w:rsidRDefault="00A05AD3">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p>
    <w:p w14:paraId="59CBDCCF" w14:textId="77777777" w:rsidR="00A05AD3" w:rsidRDefault="00A05AD3">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p>
    <w:p w14:paraId="06D50E77"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u w:val="single"/>
        </w:rPr>
        <w:lastRenderedPageBreak/>
        <w:t>ANEXO I – TERMO DE REFERÊNCIA</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br/>
      </w:r>
    </w:p>
    <w:p w14:paraId="3698A24E" w14:textId="77777777" w:rsidR="00A05AD3" w:rsidRDefault="00A05AD3">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b/>
          <w:sz w:val="26"/>
          <w:szCs w:val="26"/>
        </w:rPr>
      </w:pPr>
    </w:p>
    <w:p w14:paraId="1E39E677" w14:textId="77777777" w:rsidR="00DD3235"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Processo administrativo nº 37/2023</w:t>
      </w:r>
    </w:p>
    <w:p w14:paraId="18975139" w14:textId="5E989285"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Pregão Eletrônico nº 03/2024</w:t>
      </w:r>
    </w:p>
    <w:p w14:paraId="0013A4BE"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0CA3C6DF"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Todas as especificações necessárias estão descritas neste Termo de Referência.</w:t>
      </w:r>
    </w:p>
    <w:p w14:paraId="0211152F" w14:textId="77777777" w:rsidR="00A05AD3" w:rsidRDefault="00A05AD3">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b/>
          <w:sz w:val="26"/>
          <w:szCs w:val="26"/>
        </w:rPr>
      </w:pPr>
    </w:p>
    <w:p w14:paraId="646667BC"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FORMA DE CONTRATAÇÃO</w:t>
      </w:r>
      <w:r>
        <w:rPr>
          <w:rFonts w:ascii="Times New Roman" w:eastAsia="Times New Roman" w:hAnsi="Times New Roman" w:cs="Times New Roman"/>
          <w:sz w:val="26"/>
          <w:szCs w:val="26"/>
        </w:rPr>
        <w:t xml:space="preserve">: Pregão eletrônico. </w:t>
      </w:r>
    </w:p>
    <w:p w14:paraId="47A67FC5" w14:textId="11C42EA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OBJETO</w:t>
      </w:r>
      <w:r>
        <w:rPr>
          <w:rFonts w:ascii="Times New Roman" w:eastAsia="Times New Roman" w:hAnsi="Times New Roman" w:cs="Times New Roman"/>
          <w:sz w:val="26"/>
          <w:szCs w:val="26"/>
        </w:rPr>
        <w:t xml:space="preserve">: aquisição de equipamentos de informática e de aparelhos de </w:t>
      </w:r>
      <w:r w:rsidR="00DD3235">
        <w:rPr>
          <w:rFonts w:ascii="Times New Roman" w:eastAsia="Times New Roman" w:hAnsi="Times New Roman" w:cs="Times New Roman"/>
          <w:sz w:val="26"/>
          <w:szCs w:val="26"/>
        </w:rPr>
        <w:t>ar-condicionado</w:t>
      </w:r>
      <w:r>
        <w:rPr>
          <w:rFonts w:ascii="Times New Roman" w:eastAsia="Times New Roman" w:hAnsi="Times New Roman" w:cs="Times New Roman"/>
          <w:sz w:val="26"/>
          <w:szCs w:val="26"/>
        </w:rPr>
        <w:t xml:space="preserve"> para atender às necessidades da Câmara.</w:t>
      </w:r>
    </w:p>
    <w:p w14:paraId="5980731E" w14:textId="77777777" w:rsidR="00A05AD3" w:rsidRDefault="00A05AD3">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p>
    <w:p w14:paraId="2FCD3BD6" w14:textId="77777777" w:rsidR="00A05AD3" w:rsidRDefault="00A05AD3">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p>
    <w:p w14:paraId="6F7D56D5"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1. JUSTIFICATIVA PARA CONTRATAÇÃO</w:t>
      </w:r>
      <w:r>
        <w:rPr>
          <w:rFonts w:ascii="Times New Roman" w:eastAsia="Times New Roman" w:hAnsi="Times New Roman" w:cs="Times New Roman"/>
          <w:sz w:val="26"/>
          <w:szCs w:val="26"/>
        </w:rPr>
        <w:t xml:space="preserve">: </w:t>
      </w:r>
    </w:p>
    <w:p w14:paraId="36791E45"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5F8AFE54" w14:textId="77777777" w:rsidR="00A05AD3" w:rsidRDefault="0000000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necessidade advém dos seguintes fatores: I) aumento do quadro funcional: a admissão de 5 novos servidores exige atualização e expansão dos recursos de informática para manter a eficiência operacional (vide edital de concurso público nº 01/2023</w:t>
      </w:r>
      <w:r>
        <w:rPr>
          <w:rFonts w:ascii="Times New Roman" w:eastAsia="Times New Roman" w:hAnsi="Times New Roman" w:cs="Times New Roman"/>
          <w:sz w:val="26"/>
          <w:szCs w:val="26"/>
          <w:vertAlign w:val="superscript"/>
        </w:rPr>
        <w:footnoteReference w:id="4"/>
      </w:r>
      <w:r>
        <w:rPr>
          <w:rFonts w:ascii="Times New Roman" w:eastAsia="Times New Roman" w:hAnsi="Times New Roman" w:cs="Times New Roman"/>
          <w:sz w:val="26"/>
          <w:szCs w:val="26"/>
        </w:rPr>
        <w:t xml:space="preserve"> já homologado); II) obsolescência tecnológica: equipamentos de informática adquiridos há anos requerem substituição para garantir compatibilidade com novas tecnologias e software, aumentando a produtividade e segurança; III) instalação de equipamentos de TV Digital: A necessidade de climatização adequada nas estações da torre de TV e estúdio da TV Câmara para proteger e otimizar o desempenho dos equipamentos de transmissão digital; IV) condições ambientais adequadas: a substituição de um aparelho de ar condicionado por um mais potente para garantir um ambiente de trabalho confortável e eficiente, considerando o aumento da temperatura em espaços expostos ao sol vespertino.</w:t>
      </w:r>
    </w:p>
    <w:p w14:paraId="724BBE5F" w14:textId="77777777" w:rsidR="00A05AD3" w:rsidRDefault="0000000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Essas ações alinham-se com os princípios de eficiência, atualização tecnológica e melhoria das condições de trabalho, promovendo um serviço público mais eficaz e adaptado às necessidades contemporâneas.</w:t>
      </w:r>
    </w:p>
    <w:p w14:paraId="5ED324E4" w14:textId="77777777" w:rsidR="00A05AD3" w:rsidRDefault="0000000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 aquisição dos equipamentos necessários em uma única licitação pela Câmara Municipal de Mococa representa uma estratégia eficaz e altamente alinhada com os preceitos da Lei federal nº 14.133/2021, visando a otimização dos recursos públicos e a agilização do processo licitatório. Com esta abordagem, a Administração Pública não apenas assegura uma economia de escala significativa, reduzindo os custos totais de aquisição, mas também demonstra um comprometimento com a transparência, eficiência e eficácia na gestão dos recursos destinados à modernização e ao aprimoramento das suas operações. Tal posicionamento sublinha a busca pela </w:t>
      </w:r>
      <w:r>
        <w:rPr>
          <w:rFonts w:ascii="Times New Roman" w:eastAsia="Times New Roman" w:hAnsi="Times New Roman" w:cs="Times New Roman"/>
          <w:sz w:val="26"/>
          <w:szCs w:val="26"/>
        </w:rPr>
        <w:lastRenderedPageBreak/>
        <w:t>excelência no atendimento às demandas atuais, garantindo que as necessidades de infraestrutura tecnológica sejam atendidas de maneira econômica e estratégica, reforçando o papel fundamental da gestão pública consciente e orientada para o futuro.</w:t>
      </w:r>
    </w:p>
    <w:p w14:paraId="653B2BB2" w14:textId="77777777" w:rsidR="00A05AD3" w:rsidRDefault="00A05AD3">
      <w:pPr>
        <w:spacing w:after="0" w:line="240" w:lineRule="auto"/>
        <w:jc w:val="both"/>
        <w:rPr>
          <w:rFonts w:ascii="Times New Roman" w:eastAsia="Times New Roman" w:hAnsi="Times New Roman" w:cs="Times New Roman"/>
          <w:color w:val="FF0000"/>
          <w:sz w:val="26"/>
          <w:szCs w:val="26"/>
        </w:rPr>
      </w:pPr>
    </w:p>
    <w:p w14:paraId="2A0848F2" w14:textId="77777777" w:rsidR="00A05AD3" w:rsidRDefault="00000000">
      <w:pPr>
        <w:spacing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2. DO OBJETO E ESPECIFICAÇÕES MÍNIMAS</w:t>
      </w:r>
    </w:p>
    <w:p w14:paraId="1AE33A5E" w14:textId="77777777" w:rsidR="00A05AD3" w:rsidRDefault="00000000">
      <w:pPr>
        <w:widowControl w:val="0"/>
        <w:tabs>
          <w:tab w:val="left" w:pos="1447"/>
        </w:tabs>
        <w:spacing w:before="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2.1 Este pregão trata da aquisição dos seguintes itens: 10 (dez) computadores do tipo notebooks, 4 (quatro) scanners de mesa, 2 (duas) impressoras do tipo multifuncional colorida, 4 (quatro) impressoras do tipo multifuncional monocromática, 5 (cinco) aparelhos de ar condicionado de 12.000 btus, 1 (um) aparelho </w:t>
      </w:r>
      <w:proofErr w:type="gramStart"/>
      <w:r>
        <w:rPr>
          <w:rFonts w:ascii="Times New Roman" w:eastAsia="Times New Roman" w:hAnsi="Times New Roman" w:cs="Times New Roman"/>
          <w:sz w:val="26"/>
          <w:szCs w:val="26"/>
        </w:rPr>
        <w:t>de  ar</w:t>
      </w:r>
      <w:proofErr w:type="gramEnd"/>
      <w:r>
        <w:rPr>
          <w:rFonts w:ascii="Times New Roman" w:eastAsia="Times New Roman" w:hAnsi="Times New Roman" w:cs="Times New Roman"/>
          <w:sz w:val="26"/>
          <w:szCs w:val="26"/>
        </w:rPr>
        <w:t xml:space="preserve"> condicionado de 18.000 btus, conforme especificações mínimas discriminadas na tabela abaixo:</w:t>
      </w:r>
    </w:p>
    <w:p w14:paraId="1A42E272" w14:textId="77777777" w:rsidR="00A05AD3" w:rsidRDefault="00A05AD3">
      <w:pPr>
        <w:spacing w:after="0" w:line="240" w:lineRule="auto"/>
        <w:jc w:val="both"/>
        <w:rPr>
          <w:rFonts w:ascii="Times New Roman" w:eastAsia="Times New Roman" w:hAnsi="Times New Roman" w:cs="Times New Roman"/>
          <w:sz w:val="26"/>
          <w:szCs w:val="26"/>
        </w:rPr>
      </w:pPr>
    </w:p>
    <w:tbl>
      <w:tblPr>
        <w:tblStyle w:val="a3"/>
        <w:tblW w:w="90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
        <w:gridCol w:w="6315"/>
        <w:gridCol w:w="1755"/>
      </w:tblGrid>
      <w:tr w:rsidR="00A05AD3" w14:paraId="7FDFC18C" w14:textId="77777777" w:rsidTr="00F048FE">
        <w:trPr>
          <w:trHeight w:val="132"/>
        </w:trPr>
        <w:tc>
          <w:tcPr>
            <w:tcW w:w="9045" w:type="dxa"/>
            <w:gridSpan w:val="3"/>
            <w:shd w:val="clear" w:color="auto" w:fill="auto"/>
            <w:tcMar>
              <w:top w:w="100" w:type="dxa"/>
              <w:left w:w="100" w:type="dxa"/>
              <w:bottom w:w="100" w:type="dxa"/>
              <w:right w:w="100" w:type="dxa"/>
            </w:tcMar>
          </w:tcPr>
          <w:p w14:paraId="12F5EF08" w14:textId="77777777" w:rsidR="00A05AD3" w:rsidRDefault="00000000">
            <w:pPr>
              <w:widowControl w:val="0"/>
              <w:spacing w:after="0" w:line="240" w:lineRule="auto"/>
              <w:contextualSpacing/>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LOTE 1</w:t>
            </w:r>
          </w:p>
        </w:tc>
      </w:tr>
      <w:tr w:rsidR="00A05AD3" w14:paraId="579332D1" w14:textId="77777777">
        <w:tc>
          <w:tcPr>
            <w:tcW w:w="975" w:type="dxa"/>
            <w:shd w:val="clear" w:color="auto" w:fill="auto"/>
            <w:tcMar>
              <w:top w:w="100" w:type="dxa"/>
              <w:left w:w="100" w:type="dxa"/>
              <w:bottom w:w="100" w:type="dxa"/>
              <w:right w:w="100" w:type="dxa"/>
            </w:tcMar>
          </w:tcPr>
          <w:p w14:paraId="4611082D" w14:textId="77777777" w:rsidR="00A05AD3" w:rsidRDefault="00000000">
            <w:pPr>
              <w:widowControl w:val="0"/>
              <w:spacing w:after="0" w:line="240" w:lineRule="auto"/>
              <w:contextualSpacing/>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Item</w:t>
            </w:r>
          </w:p>
        </w:tc>
        <w:tc>
          <w:tcPr>
            <w:tcW w:w="6315" w:type="dxa"/>
            <w:shd w:val="clear" w:color="auto" w:fill="auto"/>
            <w:tcMar>
              <w:top w:w="100" w:type="dxa"/>
              <w:left w:w="100" w:type="dxa"/>
              <w:bottom w:w="100" w:type="dxa"/>
              <w:right w:w="100" w:type="dxa"/>
            </w:tcMar>
          </w:tcPr>
          <w:p w14:paraId="16738AFB" w14:textId="77777777" w:rsidR="00A05AD3" w:rsidRDefault="00000000">
            <w:pPr>
              <w:widowControl w:val="0"/>
              <w:spacing w:after="0" w:line="240" w:lineRule="auto"/>
              <w:contextualSpacing/>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Descrição</w:t>
            </w:r>
          </w:p>
        </w:tc>
        <w:tc>
          <w:tcPr>
            <w:tcW w:w="1755" w:type="dxa"/>
            <w:shd w:val="clear" w:color="auto" w:fill="auto"/>
            <w:tcMar>
              <w:top w:w="100" w:type="dxa"/>
              <w:left w:w="100" w:type="dxa"/>
              <w:bottom w:w="100" w:type="dxa"/>
              <w:right w:w="100" w:type="dxa"/>
            </w:tcMar>
          </w:tcPr>
          <w:p w14:paraId="69A7707C" w14:textId="77777777" w:rsidR="00A05AD3" w:rsidRDefault="00000000">
            <w:pPr>
              <w:widowControl w:val="0"/>
              <w:spacing w:after="0" w:line="240" w:lineRule="auto"/>
              <w:contextualSpacing/>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Quantidade</w:t>
            </w:r>
          </w:p>
        </w:tc>
      </w:tr>
      <w:tr w:rsidR="00A05AD3" w14:paraId="49DDA32D" w14:textId="77777777">
        <w:tc>
          <w:tcPr>
            <w:tcW w:w="975" w:type="dxa"/>
            <w:shd w:val="clear" w:color="auto" w:fill="auto"/>
            <w:tcMar>
              <w:top w:w="100" w:type="dxa"/>
              <w:left w:w="100" w:type="dxa"/>
              <w:bottom w:w="100" w:type="dxa"/>
              <w:right w:w="100" w:type="dxa"/>
            </w:tcMar>
          </w:tcPr>
          <w:p w14:paraId="451159BC" w14:textId="77777777" w:rsidR="00A05AD3" w:rsidRDefault="00000000">
            <w:pPr>
              <w:widowControl w:val="0"/>
              <w:spacing w:after="0" w:line="240" w:lineRule="auto"/>
              <w:contextualSpacing/>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6315" w:type="dxa"/>
            <w:shd w:val="clear" w:color="auto" w:fill="auto"/>
            <w:tcMar>
              <w:top w:w="100" w:type="dxa"/>
              <w:left w:w="100" w:type="dxa"/>
              <w:bottom w:w="100" w:type="dxa"/>
              <w:right w:w="100" w:type="dxa"/>
            </w:tcMar>
          </w:tcPr>
          <w:p w14:paraId="45AC6B05" w14:textId="77777777" w:rsidR="00A05AD3" w:rsidRDefault="00000000">
            <w:pPr>
              <w:widowControl w:val="0"/>
              <w:spacing w:after="0" w:line="240" w:lineRule="auto"/>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Notebook</w:t>
            </w:r>
            <w:r>
              <w:rPr>
                <w:rFonts w:ascii="Times New Roman" w:eastAsia="Times New Roman" w:hAnsi="Times New Roman" w:cs="Times New Roman"/>
                <w:sz w:val="26"/>
                <w:szCs w:val="26"/>
              </w:rPr>
              <w:t xml:space="preserve">, com processador tipo </w:t>
            </w:r>
            <w:proofErr w:type="spellStart"/>
            <w:r>
              <w:rPr>
                <w:rFonts w:ascii="Times New Roman" w:eastAsia="Times New Roman" w:hAnsi="Times New Roman" w:cs="Times New Roman"/>
                <w:sz w:val="26"/>
                <w:szCs w:val="26"/>
              </w:rPr>
              <w:t>intel</w:t>
            </w:r>
            <w:proofErr w:type="spellEnd"/>
            <w:r>
              <w:rPr>
                <w:rFonts w:ascii="Times New Roman" w:eastAsia="Times New Roman" w:hAnsi="Times New Roman" w:cs="Times New Roman"/>
                <w:sz w:val="26"/>
                <w:szCs w:val="26"/>
              </w:rPr>
              <w:t xml:space="preserve"> core 13ª geração i7-1355U (10-core, cache de 12MB, até 5.0 GHz), memória RAM 16Gb ou superior (16GB DDR4 (2x8GB) 3200MT/s), HD SSD 1 Tb, Placa de vídeo tipo NVIDIA® GeForce® MX550, 2 GB GDDR6 ou superior, tela FULL HD de 15”, sistema operacional Windows Pro, 1 Porta HDMI 1.4, 1 porta USB 3.2 </w:t>
            </w:r>
            <w:proofErr w:type="spellStart"/>
            <w:r>
              <w:rPr>
                <w:rFonts w:ascii="Times New Roman" w:eastAsia="Times New Roman" w:hAnsi="Times New Roman" w:cs="Times New Roman"/>
                <w:sz w:val="26"/>
                <w:szCs w:val="26"/>
              </w:rPr>
              <w:t>Type-A</w:t>
            </w:r>
            <w:proofErr w:type="spellEnd"/>
            <w:r>
              <w:rPr>
                <w:rFonts w:ascii="Times New Roman" w:eastAsia="Times New Roman" w:hAnsi="Times New Roman" w:cs="Times New Roman"/>
                <w:sz w:val="26"/>
                <w:szCs w:val="26"/>
              </w:rPr>
              <w:t xml:space="preserve"> de 1ª geração, 1 porta USB 3.2 </w:t>
            </w:r>
            <w:proofErr w:type="spellStart"/>
            <w:r>
              <w:rPr>
                <w:rFonts w:ascii="Times New Roman" w:eastAsia="Times New Roman" w:hAnsi="Times New Roman" w:cs="Times New Roman"/>
                <w:sz w:val="26"/>
                <w:szCs w:val="26"/>
              </w:rPr>
              <w:t>Type</w:t>
            </w:r>
            <w:proofErr w:type="spellEnd"/>
            <w:r>
              <w:rPr>
                <w:rFonts w:ascii="Times New Roman" w:eastAsia="Times New Roman" w:hAnsi="Times New Roman" w:cs="Times New Roman"/>
                <w:sz w:val="26"/>
                <w:szCs w:val="26"/>
              </w:rPr>
              <w:t xml:space="preserve">-C de 1ª geração (apenas dados), 1 porta USB 2.0 </w:t>
            </w:r>
            <w:proofErr w:type="spellStart"/>
            <w:r>
              <w:rPr>
                <w:rFonts w:ascii="Times New Roman" w:eastAsia="Times New Roman" w:hAnsi="Times New Roman" w:cs="Times New Roman"/>
                <w:sz w:val="26"/>
                <w:szCs w:val="26"/>
              </w:rPr>
              <w:t>Type</w:t>
            </w:r>
            <w:proofErr w:type="spellEnd"/>
            <w:r>
              <w:rPr>
                <w:rFonts w:ascii="Times New Roman" w:eastAsia="Times New Roman" w:hAnsi="Times New Roman" w:cs="Times New Roman"/>
                <w:sz w:val="26"/>
                <w:szCs w:val="26"/>
              </w:rPr>
              <w:t xml:space="preserve"> A, 1 Conector de headset, 1 Tomada de energia, 1 slot de cartão SD​, 1 slot M.2 2230/2280 para unidade de estado sólido (SSD), Bateria de 4 células e 54Wh (integrada), Webcam </w:t>
            </w:r>
            <w:proofErr w:type="spellStart"/>
            <w:r>
              <w:rPr>
                <w:rFonts w:ascii="Times New Roman" w:eastAsia="Times New Roman" w:hAnsi="Times New Roman" w:cs="Times New Roman"/>
                <w:sz w:val="26"/>
                <w:szCs w:val="26"/>
              </w:rPr>
              <w:t>widescreen</w:t>
            </w:r>
            <w:proofErr w:type="spellEnd"/>
            <w:r>
              <w:rPr>
                <w:rFonts w:ascii="Times New Roman" w:eastAsia="Times New Roman" w:hAnsi="Times New Roman" w:cs="Times New Roman"/>
                <w:sz w:val="26"/>
                <w:szCs w:val="26"/>
              </w:rPr>
              <w:t xml:space="preserve"> HD (mínimo 720p) integrada com microfone digital, Rede Wireless 802.11ax 2x2 Wi-Fi 6, placa de rede wireless com Bluetooth, garantia de 12 meses.</w:t>
            </w:r>
          </w:p>
        </w:tc>
        <w:tc>
          <w:tcPr>
            <w:tcW w:w="1755" w:type="dxa"/>
            <w:shd w:val="clear" w:color="auto" w:fill="auto"/>
            <w:tcMar>
              <w:top w:w="100" w:type="dxa"/>
              <w:left w:w="100" w:type="dxa"/>
              <w:bottom w:w="100" w:type="dxa"/>
              <w:right w:w="100" w:type="dxa"/>
            </w:tcMar>
          </w:tcPr>
          <w:p w14:paraId="029283F9" w14:textId="77777777" w:rsidR="00A05AD3" w:rsidRDefault="00000000">
            <w:pPr>
              <w:widowControl w:val="0"/>
              <w:spacing w:after="0" w:line="240" w:lineRule="auto"/>
              <w:contextualSpacing/>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10</w:t>
            </w:r>
          </w:p>
        </w:tc>
      </w:tr>
      <w:tr w:rsidR="00A05AD3" w14:paraId="15C83C81" w14:textId="77777777" w:rsidTr="00F048FE">
        <w:trPr>
          <w:trHeight w:val="58"/>
        </w:trPr>
        <w:tc>
          <w:tcPr>
            <w:tcW w:w="9045" w:type="dxa"/>
            <w:gridSpan w:val="3"/>
            <w:shd w:val="clear" w:color="auto" w:fill="auto"/>
            <w:tcMar>
              <w:top w:w="100" w:type="dxa"/>
              <w:left w:w="100" w:type="dxa"/>
              <w:bottom w:w="100" w:type="dxa"/>
              <w:right w:w="100" w:type="dxa"/>
            </w:tcMar>
          </w:tcPr>
          <w:p w14:paraId="56C9C646" w14:textId="77777777" w:rsidR="00A05AD3" w:rsidRDefault="00000000">
            <w:pPr>
              <w:widowControl w:val="0"/>
              <w:spacing w:after="0" w:line="240" w:lineRule="auto"/>
              <w:contextualSpacing/>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LOTE 2</w:t>
            </w:r>
          </w:p>
        </w:tc>
      </w:tr>
      <w:tr w:rsidR="00A05AD3" w14:paraId="385130EF" w14:textId="77777777">
        <w:tc>
          <w:tcPr>
            <w:tcW w:w="975" w:type="dxa"/>
            <w:shd w:val="clear" w:color="auto" w:fill="auto"/>
            <w:tcMar>
              <w:top w:w="100" w:type="dxa"/>
              <w:left w:w="100" w:type="dxa"/>
              <w:bottom w:w="100" w:type="dxa"/>
              <w:right w:w="100" w:type="dxa"/>
            </w:tcMar>
          </w:tcPr>
          <w:p w14:paraId="3DC5E8DF" w14:textId="77777777" w:rsidR="00A05AD3" w:rsidRDefault="00000000">
            <w:pPr>
              <w:widowControl w:val="0"/>
              <w:spacing w:after="0" w:line="240" w:lineRule="auto"/>
              <w:contextualSpacing/>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Item</w:t>
            </w:r>
          </w:p>
        </w:tc>
        <w:tc>
          <w:tcPr>
            <w:tcW w:w="6315" w:type="dxa"/>
            <w:shd w:val="clear" w:color="auto" w:fill="auto"/>
            <w:tcMar>
              <w:top w:w="100" w:type="dxa"/>
              <w:left w:w="100" w:type="dxa"/>
              <w:bottom w:w="100" w:type="dxa"/>
              <w:right w:w="100" w:type="dxa"/>
            </w:tcMar>
          </w:tcPr>
          <w:p w14:paraId="6C837BD7" w14:textId="77777777" w:rsidR="00A05AD3" w:rsidRDefault="00000000">
            <w:pPr>
              <w:widowControl w:val="0"/>
              <w:spacing w:after="0" w:line="240" w:lineRule="auto"/>
              <w:contextualSpacing/>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Descrição</w:t>
            </w:r>
          </w:p>
        </w:tc>
        <w:tc>
          <w:tcPr>
            <w:tcW w:w="1755" w:type="dxa"/>
            <w:shd w:val="clear" w:color="auto" w:fill="auto"/>
            <w:tcMar>
              <w:top w:w="100" w:type="dxa"/>
              <w:left w:w="100" w:type="dxa"/>
              <w:bottom w:w="100" w:type="dxa"/>
              <w:right w:w="100" w:type="dxa"/>
            </w:tcMar>
          </w:tcPr>
          <w:p w14:paraId="0B32D63A" w14:textId="77777777" w:rsidR="00A05AD3" w:rsidRDefault="00000000">
            <w:pPr>
              <w:widowControl w:val="0"/>
              <w:spacing w:after="0" w:line="240" w:lineRule="auto"/>
              <w:contextualSpacing/>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Quantidade</w:t>
            </w:r>
          </w:p>
        </w:tc>
      </w:tr>
      <w:tr w:rsidR="00A05AD3" w14:paraId="6F995DD7" w14:textId="77777777">
        <w:tc>
          <w:tcPr>
            <w:tcW w:w="975" w:type="dxa"/>
            <w:shd w:val="clear" w:color="auto" w:fill="auto"/>
            <w:tcMar>
              <w:top w:w="100" w:type="dxa"/>
              <w:left w:w="100" w:type="dxa"/>
              <w:bottom w:w="100" w:type="dxa"/>
              <w:right w:w="100" w:type="dxa"/>
            </w:tcMar>
          </w:tcPr>
          <w:p w14:paraId="1DCF0DB4" w14:textId="77777777" w:rsidR="00A05AD3" w:rsidRDefault="00000000">
            <w:pPr>
              <w:widowControl w:val="0"/>
              <w:spacing w:after="0" w:line="240" w:lineRule="auto"/>
              <w:contextualSpacing/>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6315" w:type="dxa"/>
            <w:shd w:val="clear" w:color="auto" w:fill="auto"/>
            <w:tcMar>
              <w:top w:w="100" w:type="dxa"/>
              <w:left w:w="100" w:type="dxa"/>
              <w:bottom w:w="100" w:type="dxa"/>
              <w:right w:w="100" w:type="dxa"/>
            </w:tcMar>
          </w:tcPr>
          <w:p w14:paraId="2B4D73CE" w14:textId="77777777" w:rsidR="00A05AD3" w:rsidRDefault="00000000">
            <w:pPr>
              <w:widowControl w:val="0"/>
              <w:spacing w:after="0" w:line="240" w:lineRule="auto"/>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Impressora Multifuncional monocromática</w:t>
            </w:r>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imp</w:t>
            </w:r>
            <w:proofErr w:type="spellEnd"/>
            <w:r>
              <w:rPr>
                <w:rFonts w:ascii="Times New Roman" w:eastAsia="Times New Roman" w:hAnsi="Times New Roman" w:cs="Times New Roman"/>
                <w:sz w:val="26"/>
                <w:szCs w:val="26"/>
              </w:rPr>
              <w:t>/</w:t>
            </w:r>
            <w:proofErr w:type="spellStart"/>
            <w:r>
              <w:rPr>
                <w:rFonts w:ascii="Times New Roman" w:eastAsia="Times New Roman" w:hAnsi="Times New Roman" w:cs="Times New Roman"/>
                <w:sz w:val="26"/>
                <w:szCs w:val="26"/>
              </w:rPr>
              <w:t>cop</w:t>
            </w:r>
            <w:proofErr w:type="spellEnd"/>
            <w:r>
              <w:rPr>
                <w:rFonts w:ascii="Times New Roman" w:eastAsia="Times New Roman" w:hAnsi="Times New Roman" w:cs="Times New Roman"/>
                <w:sz w:val="26"/>
                <w:szCs w:val="26"/>
              </w:rPr>
              <w:t>/</w:t>
            </w:r>
            <w:proofErr w:type="spellStart"/>
            <w:r>
              <w:rPr>
                <w:rFonts w:ascii="Times New Roman" w:eastAsia="Times New Roman" w:hAnsi="Times New Roman" w:cs="Times New Roman"/>
                <w:sz w:val="26"/>
                <w:szCs w:val="26"/>
              </w:rPr>
              <w:t>scan</w:t>
            </w:r>
            <w:proofErr w:type="spellEnd"/>
            <w:r>
              <w:rPr>
                <w:rFonts w:ascii="Times New Roman" w:eastAsia="Times New Roman" w:hAnsi="Times New Roman" w:cs="Times New Roman"/>
                <w:sz w:val="26"/>
                <w:szCs w:val="26"/>
              </w:rPr>
              <w:t xml:space="preserve">, 50ppm - multifuncional, com função de impressora, copiadora e scanner, ciclo de trabalho mensal de 150.000 páginas, impressão laser monocromática, duplex automático, com processador de 800 mhz, </w:t>
            </w:r>
            <w:r>
              <w:rPr>
                <w:rFonts w:ascii="Times New Roman" w:eastAsia="Times New Roman" w:hAnsi="Times New Roman" w:cs="Times New Roman"/>
                <w:sz w:val="26"/>
                <w:szCs w:val="26"/>
              </w:rPr>
              <w:lastRenderedPageBreak/>
              <w:t xml:space="preserve">velocidade mínima em preto de 50 </w:t>
            </w:r>
            <w:proofErr w:type="spellStart"/>
            <w:r>
              <w:rPr>
                <w:rFonts w:ascii="Times New Roman" w:eastAsia="Times New Roman" w:hAnsi="Times New Roman" w:cs="Times New Roman"/>
                <w:sz w:val="26"/>
                <w:szCs w:val="26"/>
              </w:rPr>
              <w:t>ppm</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resolucao</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minima</w:t>
            </w:r>
            <w:proofErr w:type="spellEnd"/>
            <w:r>
              <w:rPr>
                <w:rFonts w:ascii="Times New Roman" w:eastAsia="Times New Roman" w:hAnsi="Times New Roman" w:cs="Times New Roman"/>
                <w:sz w:val="26"/>
                <w:szCs w:val="26"/>
              </w:rPr>
              <w:t xml:space="preserve"> na cor preta de </w:t>
            </w:r>
            <w:proofErr w:type="spellStart"/>
            <w:r>
              <w:rPr>
                <w:rFonts w:ascii="Times New Roman" w:eastAsia="Times New Roman" w:hAnsi="Times New Roman" w:cs="Times New Roman"/>
                <w:sz w:val="26"/>
                <w:szCs w:val="26"/>
              </w:rPr>
              <w:t>de</w:t>
            </w:r>
            <w:proofErr w:type="spellEnd"/>
            <w:r>
              <w:rPr>
                <w:rFonts w:ascii="Times New Roman" w:eastAsia="Times New Roman" w:hAnsi="Times New Roman" w:cs="Times New Roman"/>
                <w:sz w:val="26"/>
                <w:szCs w:val="26"/>
              </w:rPr>
              <w:t xml:space="preserve"> 1200 </w:t>
            </w:r>
            <w:proofErr w:type="spellStart"/>
            <w:r>
              <w:rPr>
                <w:rFonts w:ascii="Times New Roman" w:eastAsia="Times New Roman" w:hAnsi="Times New Roman" w:cs="Times New Roman"/>
                <w:sz w:val="26"/>
                <w:szCs w:val="26"/>
              </w:rPr>
              <w:t>dpi</w:t>
            </w:r>
            <w:proofErr w:type="spellEnd"/>
            <w:r>
              <w:rPr>
                <w:rFonts w:ascii="Times New Roman" w:eastAsia="Times New Roman" w:hAnsi="Times New Roman" w:cs="Times New Roman"/>
                <w:sz w:val="26"/>
                <w:szCs w:val="26"/>
              </w:rPr>
              <w:t xml:space="preserve">, memória mínima de 01 </w:t>
            </w:r>
            <w:proofErr w:type="spellStart"/>
            <w:r>
              <w:rPr>
                <w:rFonts w:ascii="Times New Roman" w:eastAsia="Times New Roman" w:hAnsi="Times New Roman" w:cs="Times New Roman"/>
                <w:sz w:val="26"/>
                <w:szCs w:val="26"/>
              </w:rPr>
              <w:t>gb</w:t>
            </w:r>
            <w:proofErr w:type="spellEnd"/>
            <w:r>
              <w:rPr>
                <w:rFonts w:ascii="Times New Roman" w:eastAsia="Times New Roman" w:hAnsi="Times New Roman" w:cs="Times New Roman"/>
                <w:sz w:val="26"/>
                <w:szCs w:val="26"/>
              </w:rPr>
              <w:t xml:space="preserve">, tipo de papel: a4, carta, ofício, executivo e envelope, capacidade mínima da bandeja de entrada de 500 folhas, </w:t>
            </w:r>
            <w:proofErr w:type="spellStart"/>
            <w:r>
              <w:rPr>
                <w:rFonts w:ascii="Times New Roman" w:eastAsia="Times New Roman" w:hAnsi="Times New Roman" w:cs="Times New Roman"/>
                <w:sz w:val="26"/>
                <w:szCs w:val="26"/>
              </w:rPr>
              <w:t>adf</w:t>
            </w:r>
            <w:proofErr w:type="spellEnd"/>
            <w:r>
              <w:rPr>
                <w:rFonts w:ascii="Times New Roman" w:eastAsia="Times New Roman" w:hAnsi="Times New Roman" w:cs="Times New Roman"/>
                <w:sz w:val="26"/>
                <w:szCs w:val="26"/>
              </w:rPr>
              <w:t xml:space="preserve"> para 50 folhas, multipropósito para 100 folhas, resolução mínima de digitalização no </w:t>
            </w:r>
            <w:proofErr w:type="spellStart"/>
            <w:r>
              <w:rPr>
                <w:rFonts w:ascii="Times New Roman" w:eastAsia="Times New Roman" w:hAnsi="Times New Roman" w:cs="Times New Roman"/>
                <w:sz w:val="26"/>
                <w:szCs w:val="26"/>
              </w:rPr>
              <w:t>adf</w:t>
            </w:r>
            <w:proofErr w:type="spellEnd"/>
            <w:r>
              <w:rPr>
                <w:rFonts w:ascii="Times New Roman" w:eastAsia="Times New Roman" w:hAnsi="Times New Roman" w:cs="Times New Roman"/>
                <w:sz w:val="26"/>
                <w:szCs w:val="26"/>
              </w:rPr>
              <w:t xml:space="preserve"> de 300 </w:t>
            </w:r>
            <w:proofErr w:type="spellStart"/>
            <w:r>
              <w:rPr>
                <w:rFonts w:ascii="Times New Roman" w:eastAsia="Times New Roman" w:hAnsi="Times New Roman" w:cs="Times New Roman"/>
                <w:sz w:val="26"/>
                <w:szCs w:val="26"/>
              </w:rPr>
              <w:t>dpi</w:t>
            </w:r>
            <w:proofErr w:type="spellEnd"/>
            <w:r>
              <w:rPr>
                <w:rFonts w:ascii="Times New Roman" w:eastAsia="Times New Roman" w:hAnsi="Times New Roman" w:cs="Times New Roman"/>
                <w:sz w:val="26"/>
                <w:szCs w:val="26"/>
              </w:rPr>
              <w:t xml:space="preserve"> cores e monocromático, na mesa de 600 </w:t>
            </w:r>
            <w:proofErr w:type="spellStart"/>
            <w:r>
              <w:rPr>
                <w:rFonts w:ascii="Times New Roman" w:eastAsia="Times New Roman" w:hAnsi="Times New Roman" w:cs="Times New Roman"/>
                <w:sz w:val="26"/>
                <w:szCs w:val="26"/>
              </w:rPr>
              <w:t>dpi</w:t>
            </w:r>
            <w:proofErr w:type="spellEnd"/>
            <w:r>
              <w:rPr>
                <w:rFonts w:ascii="Times New Roman" w:eastAsia="Times New Roman" w:hAnsi="Times New Roman" w:cs="Times New Roman"/>
                <w:sz w:val="26"/>
                <w:szCs w:val="26"/>
              </w:rPr>
              <w:t xml:space="preserve"> cores e monocromático, ampliação/redução da cópia de 25% a 400%, tamanho do escaneamento de 216 x 356 mm, interface 01 usb 2.0, 01 rj-45 (</w:t>
            </w:r>
            <w:proofErr w:type="spellStart"/>
            <w:r>
              <w:rPr>
                <w:rFonts w:ascii="Times New Roman" w:eastAsia="Times New Roman" w:hAnsi="Times New Roman" w:cs="Times New Roman"/>
                <w:sz w:val="26"/>
                <w:szCs w:val="26"/>
              </w:rPr>
              <w:t>gbe</w:t>
            </w:r>
            <w:proofErr w:type="spellEnd"/>
            <w:r>
              <w:rPr>
                <w:rFonts w:ascii="Times New Roman" w:eastAsia="Times New Roman" w:hAnsi="Times New Roman" w:cs="Times New Roman"/>
                <w:sz w:val="26"/>
                <w:szCs w:val="26"/>
              </w:rPr>
              <w:t xml:space="preserve">), quantidade de cópias de 01 a 99, velocidade na cor preta de 50 </w:t>
            </w:r>
            <w:proofErr w:type="spellStart"/>
            <w:r>
              <w:rPr>
                <w:rFonts w:ascii="Times New Roman" w:eastAsia="Times New Roman" w:hAnsi="Times New Roman" w:cs="Times New Roman"/>
                <w:sz w:val="26"/>
                <w:szCs w:val="26"/>
              </w:rPr>
              <w:t>cpm</w:t>
            </w:r>
            <w:proofErr w:type="spellEnd"/>
            <w:r>
              <w:rPr>
                <w:rFonts w:ascii="Times New Roman" w:eastAsia="Times New Roman" w:hAnsi="Times New Roman" w:cs="Times New Roman"/>
                <w:sz w:val="26"/>
                <w:szCs w:val="26"/>
              </w:rPr>
              <w:t xml:space="preserve">, capacidade da bandeja de saída de 250 folhas, compatível com os principais sistemas operacionais atuais do mercado, com software de atualização e drivers de instalação, garantia de 12 meses, </w:t>
            </w:r>
            <w:proofErr w:type="spellStart"/>
            <w:r>
              <w:rPr>
                <w:rFonts w:ascii="Times New Roman" w:eastAsia="Times New Roman" w:hAnsi="Times New Roman" w:cs="Times New Roman"/>
                <w:sz w:val="26"/>
                <w:szCs w:val="26"/>
              </w:rPr>
              <w:t>on</w:t>
            </w:r>
            <w:proofErr w:type="spellEnd"/>
            <w:r>
              <w:rPr>
                <w:rFonts w:ascii="Times New Roman" w:eastAsia="Times New Roman" w:hAnsi="Times New Roman" w:cs="Times New Roman"/>
                <w:sz w:val="26"/>
                <w:szCs w:val="26"/>
              </w:rPr>
              <w:t xml:space="preserve"> site, com manuais técnicos de instalação e operação em português, com cabo de força, cabo de comunicação usb, cartucho de toner inicial.</w:t>
            </w:r>
          </w:p>
        </w:tc>
        <w:tc>
          <w:tcPr>
            <w:tcW w:w="1755" w:type="dxa"/>
            <w:shd w:val="clear" w:color="auto" w:fill="auto"/>
            <w:tcMar>
              <w:top w:w="100" w:type="dxa"/>
              <w:left w:w="100" w:type="dxa"/>
              <w:bottom w:w="100" w:type="dxa"/>
              <w:right w:w="100" w:type="dxa"/>
            </w:tcMar>
          </w:tcPr>
          <w:p w14:paraId="55606F44" w14:textId="77777777" w:rsidR="00A05AD3" w:rsidRDefault="00000000">
            <w:pPr>
              <w:widowControl w:val="0"/>
              <w:spacing w:after="0" w:line="240" w:lineRule="auto"/>
              <w:contextualSpacing/>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4</w:t>
            </w:r>
          </w:p>
        </w:tc>
      </w:tr>
      <w:tr w:rsidR="00A05AD3" w14:paraId="671CCB6F" w14:textId="77777777">
        <w:tc>
          <w:tcPr>
            <w:tcW w:w="975" w:type="dxa"/>
            <w:shd w:val="clear" w:color="auto" w:fill="auto"/>
            <w:tcMar>
              <w:top w:w="100" w:type="dxa"/>
              <w:left w:w="100" w:type="dxa"/>
              <w:bottom w:w="100" w:type="dxa"/>
              <w:right w:w="100" w:type="dxa"/>
            </w:tcMar>
          </w:tcPr>
          <w:p w14:paraId="69B1EEA6" w14:textId="77777777" w:rsidR="00A05AD3" w:rsidRDefault="00000000">
            <w:pPr>
              <w:widowControl w:val="0"/>
              <w:spacing w:after="0" w:line="240" w:lineRule="auto"/>
              <w:contextualSpacing/>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6315" w:type="dxa"/>
            <w:shd w:val="clear" w:color="auto" w:fill="auto"/>
            <w:tcMar>
              <w:top w:w="100" w:type="dxa"/>
              <w:left w:w="100" w:type="dxa"/>
              <w:bottom w:w="100" w:type="dxa"/>
              <w:right w:w="100" w:type="dxa"/>
            </w:tcMar>
          </w:tcPr>
          <w:p w14:paraId="6A1D45B9" w14:textId="77777777" w:rsidR="00A05AD3" w:rsidRDefault="00000000">
            <w:pPr>
              <w:widowControl w:val="0"/>
              <w:spacing w:after="0" w:line="240" w:lineRule="auto"/>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Impressora Multifuncional colorida</w:t>
            </w:r>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imp</w:t>
            </w:r>
            <w:proofErr w:type="spellEnd"/>
            <w:r>
              <w:rPr>
                <w:rFonts w:ascii="Times New Roman" w:eastAsia="Times New Roman" w:hAnsi="Times New Roman" w:cs="Times New Roman"/>
                <w:sz w:val="26"/>
                <w:szCs w:val="26"/>
              </w:rPr>
              <w:t>/</w:t>
            </w:r>
            <w:proofErr w:type="spellStart"/>
            <w:r>
              <w:rPr>
                <w:rFonts w:ascii="Times New Roman" w:eastAsia="Times New Roman" w:hAnsi="Times New Roman" w:cs="Times New Roman"/>
                <w:sz w:val="26"/>
                <w:szCs w:val="26"/>
              </w:rPr>
              <w:t>cop</w:t>
            </w:r>
            <w:proofErr w:type="spellEnd"/>
            <w:r>
              <w:rPr>
                <w:rFonts w:ascii="Times New Roman" w:eastAsia="Times New Roman" w:hAnsi="Times New Roman" w:cs="Times New Roman"/>
                <w:sz w:val="26"/>
                <w:szCs w:val="26"/>
              </w:rPr>
              <w:t>/</w:t>
            </w:r>
            <w:proofErr w:type="spellStart"/>
            <w:r>
              <w:rPr>
                <w:rFonts w:ascii="Times New Roman" w:eastAsia="Times New Roman" w:hAnsi="Times New Roman" w:cs="Times New Roman"/>
                <w:sz w:val="26"/>
                <w:szCs w:val="26"/>
              </w:rPr>
              <w:t>scan</w:t>
            </w:r>
            <w:proofErr w:type="spellEnd"/>
            <w:r>
              <w:rPr>
                <w:rFonts w:ascii="Times New Roman" w:eastAsia="Times New Roman" w:hAnsi="Times New Roman" w:cs="Times New Roman"/>
                <w:sz w:val="26"/>
                <w:szCs w:val="26"/>
              </w:rPr>
              <w:t xml:space="preserve">, 28ppm/27ppm, 512 </w:t>
            </w:r>
            <w:proofErr w:type="spellStart"/>
            <w:r>
              <w:rPr>
                <w:rFonts w:ascii="Times New Roman" w:eastAsia="Times New Roman" w:hAnsi="Times New Roman" w:cs="Times New Roman"/>
                <w:sz w:val="26"/>
                <w:szCs w:val="26"/>
              </w:rPr>
              <w:t>mb</w:t>
            </w:r>
            <w:proofErr w:type="spellEnd"/>
            <w:r>
              <w:rPr>
                <w:rFonts w:ascii="Times New Roman" w:eastAsia="Times New Roman" w:hAnsi="Times New Roman" w:cs="Times New Roman"/>
                <w:sz w:val="26"/>
                <w:szCs w:val="26"/>
              </w:rPr>
              <w:t xml:space="preserve">, 1200 mhz - multifuncional, com função de impressora, copiadora, scanner, com tela touchscreen colorido 4,3", impressão laser colorida, ciclo de trabalho mensal de 50.000 páginas, impressão protegida por senha, velocidade mínima em preto 28 </w:t>
            </w:r>
            <w:proofErr w:type="spellStart"/>
            <w:r>
              <w:rPr>
                <w:rFonts w:ascii="Times New Roman" w:eastAsia="Times New Roman" w:hAnsi="Times New Roman" w:cs="Times New Roman"/>
                <w:sz w:val="26"/>
                <w:szCs w:val="26"/>
              </w:rPr>
              <w:t>ppm</w:t>
            </w:r>
            <w:proofErr w:type="spellEnd"/>
            <w:r>
              <w:rPr>
                <w:rFonts w:ascii="Times New Roman" w:eastAsia="Times New Roman" w:hAnsi="Times New Roman" w:cs="Times New Roman"/>
                <w:sz w:val="26"/>
                <w:szCs w:val="26"/>
              </w:rPr>
              <w:t xml:space="preserve">, velocidade mínima em cores 27 </w:t>
            </w:r>
            <w:proofErr w:type="spellStart"/>
            <w:r>
              <w:rPr>
                <w:rFonts w:ascii="Times New Roman" w:eastAsia="Times New Roman" w:hAnsi="Times New Roman" w:cs="Times New Roman"/>
                <w:sz w:val="26"/>
                <w:szCs w:val="26"/>
              </w:rPr>
              <w:t>ppm</w:t>
            </w:r>
            <w:proofErr w:type="spellEnd"/>
            <w:r>
              <w:rPr>
                <w:rFonts w:ascii="Times New Roman" w:eastAsia="Times New Roman" w:hAnsi="Times New Roman" w:cs="Times New Roman"/>
                <w:sz w:val="26"/>
                <w:szCs w:val="26"/>
              </w:rPr>
              <w:t xml:space="preserve">, resolução mínima na cor preta de 600 x 600 </w:t>
            </w:r>
            <w:proofErr w:type="spellStart"/>
            <w:r>
              <w:rPr>
                <w:rFonts w:ascii="Times New Roman" w:eastAsia="Times New Roman" w:hAnsi="Times New Roman" w:cs="Times New Roman"/>
                <w:sz w:val="26"/>
                <w:szCs w:val="26"/>
              </w:rPr>
              <w:t>dpi</w:t>
            </w:r>
            <w:proofErr w:type="spellEnd"/>
            <w:r>
              <w:rPr>
                <w:rFonts w:ascii="Times New Roman" w:eastAsia="Times New Roman" w:hAnsi="Times New Roman" w:cs="Times New Roman"/>
                <w:sz w:val="26"/>
                <w:szCs w:val="26"/>
              </w:rPr>
              <w:t xml:space="preserve">, resolução mínima 600 x 600 </w:t>
            </w:r>
            <w:proofErr w:type="spellStart"/>
            <w:r>
              <w:rPr>
                <w:rFonts w:ascii="Times New Roman" w:eastAsia="Times New Roman" w:hAnsi="Times New Roman" w:cs="Times New Roman"/>
                <w:sz w:val="26"/>
                <w:szCs w:val="26"/>
              </w:rPr>
              <w:t>dpi</w:t>
            </w:r>
            <w:proofErr w:type="spellEnd"/>
            <w:r>
              <w:rPr>
                <w:rFonts w:ascii="Times New Roman" w:eastAsia="Times New Roman" w:hAnsi="Times New Roman" w:cs="Times New Roman"/>
                <w:sz w:val="26"/>
                <w:szCs w:val="26"/>
              </w:rPr>
              <w:t xml:space="preserve">, memória </w:t>
            </w:r>
            <w:proofErr w:type="spellStart"/>
            <w:r>
              <w:rPr>
                <w:rFonts w:ascii="Times New Roman" w:eastAsia="Times New Roman" w:hAnsi="Times New Roman" w:cs="Times New Roman"/>
                <w:sz w:val="26"/>
                <w:szCs w:val="26"/>
              </w:rPr>
              <w:t>minima</w:t>
            </w:r>
            <w:proofErr w:type="spellEnd"/>
            <w:r>
              <w:rPr>
                <w:rFonts w:ascii="Times New Roman" w:eastAsia="Times New Roman" w:hAnsi="Times New Roman" w:cs="Times New Roman"/>
                <w:sz w:val="26"/>
                <w:szCs w:val="26"/>
              </w:rPr>
              <w:t xml:space="preserve"> de 512 </w:t>
            </w:r>
            <w:proofErr w:type="spellStart"/>
            <w:r>
              <w:rPr>
                <w:rFonts w:ascii="Times New Roman" w:eastAsia="Times New Roman" w:hAnsi="Times New Roman" w:cs="Times New Roman"/>
                <w:sz w:val="26"/>
                <w:szCs w:val="26"/>
              </w:rPr>
              <w:t>mb</w:t>
            </w:r>
            <w:proofErr w:type="spellEnd"/>
            <w:r>
              <w:rPr>
                <w:rFonts w:ascii="Times New Roman" w:eastAsia="Times New Roman" w:hAnsi="Times New Roman" w:cs="Times New Roman"/>
                <w:sz w:val="26"/>
                <w:szCs w:val="26"/>
              </w:rPr>
              <w:t xml:space="preserve"> interna, processador 1200 mhz, suporte papel até 21,6 x 34,0 cm (oficio), capacidade mínima da bandeja de entrada 250 folhas, bandeja multiuso de 50 folhas, </w:t>
            </w:r>
            <w:proofErr w:type="spellStart"/>
            <w:r>
              <w:rPr>
                <w:rFonts w:ascii="Times New Roman" w:eastAsia="Times New Roman" w:hAnsi="Times New Roman" w:cs="Times New Roman"/>
                <w:sz w:val="26"/>
                <w:szCs w:val="26"/>
              </w:rPr>
              <w:t>adf</w:t>
            </w:r>
            <w:proofErr w:type="spellEnd"/>
            <w:r>
              <w:rPr>
                <w:rFonts w:ascii="Times New Roman" w:eastAsia="Times New Roman" w:hAnsi="Times New Roman" w:cs="Times New Roman"/>
                <w:sz w:val="26"/>
                <w:szCs w:val="26"/>
              </w:rPr>
              <w:t xml:space="preserve"> para 50 folhas; capacidade de saída de 150 folhas, resolução mínima de digitalização 1200 x 1200 </w:t>
            </w:r>
            <w:proofErr w:type="spellStart"/>
            <w:r>
              <w:rPr>
                <w:rFonts w:ascii="Times New Roman" w:eastAsia="Times New Roman" w:hAnsi="Times New Roman" w:cs="Times New Roman"/>
                <w:sz w:val="26"/>
                <w:szCs w:val="26"/>
              </w:rPr>
              <w:t>dpi</w:t>
            </w:r>
            <w:proofErr w:type="spellEnd"/>
            <w:r>
              <w:rPr>
                <w:rFonts w:ascii="Times New Roman" w:eastAsia="Times New Roman" w:hAnsi="Times New Roman" w:cs="Times New Roman"/>
                <w:sz w:val="26"/>
                <w:szCs w:val="26"/>
              </w:rPr>
              <w:t xml:space="preserve">, ampliação/redução da cópia 25% a 400%, interface 01 usb 2.0, 01 usb host, gigabit ethernet, 01 wifi(802.11 b/g/n), com duplex para impressão e para cópia/digitalização em uma única passagem, compatível com </w:t>
            </w:r>
            <w:proofErr w:type="spellStart"/>
            <w:r>
              <w:rPr>
                <w:rFonts w:ascii="Times New Roman" w:eastAsia="Times New Roman" w:hAnsi="Times New Roman" w:cs="Times New Roman"/>
                <w:sz w:val="26"/>
                <w:szCs w:val="26"/>
              </w:rPr>
              <w:t>windows</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mac</w:t>
            </w:r>
            <w:proofErr w:type="spellEnd"/>
            <w:r>
              <w:rPr>
                <w:rFonts w:ascii="Times New Roman" w:eastAsia="Times New Roman" w:hAnsi="Times New Roman" w:cs="Times New Roman"/>
                <w:sz w:val="26"/>
                <w:szCs w:val="26"/>
              </w:rPr>
              <w:t xml:space="preserve"> os, </w:t>
            </w:r>
            <w:proofErr w:type="spellStart"/>
            <w:r>
              <w:rPr>
                <w:rFonts w:ascii="Times New Roman" w:eastAsia="Times New Roman" w:hAnsi="Times New Roman" w:cs="Times New Roman"/>
                <w:sz w:val="26"/>
                <w:szCs w:val="26"/>
              </w:rPr>
              <w:t>linux</w:t>
            </w:r>
            <w:proofErr w:type="spellEnd"/>
            <w:r>
              <w:rPr>
                <w:rFonts w:ascii="Times New Roman" w:eastAsia="Times New Roman" w:hAnsi="Times New Roman" w:cs="Times New Roman"/>
                <w:sz w:val="26"/>
                <w:szCs w:val="26"/>
              </w:rPr>
              <w:t xml:space="preserve">, com software de utilização e drivers de instalação, garantia de 12 meses, </w:t>
            </w:r>
            <w:proofErr w:type="spellStart"/>
            <w:r>
              <w:rPr>
                <w:rFonts w:ascii="Times New Roman" w:eastAsia="Times New Roman" w:hAnsi="Times New Roman" w:cs="Times New Roman"/>
                <w:sz w:val="26"/>
                <w:szCs w:val="26"/>
              </w:rPr>
              <w:t>on</w:t>
            </w:r>
            <w:proofErr w:type="spellEnd"/>
            <w:r>
              <w:rPr>
                <w:rFonts w:ascii="Times New Roman" w:eastAsia="Times New Roman" w:hAnsi="Times New Roman" w:cs="Times New Roman"/>
                <w:sz w:val="26"/>
                <w:szCs w:val="26"/>
              </w:rPr>
              <w:t xml:space="preserve"> site, com manuais técnicos de instalação e operação em português, com cabo de alimentação, cabo de comunicação usb, cartucho de toner.</w:t>
            </w:r>
          </w:p>
        </w:tc>
        <w:tc>
          <w:tcPr>
            <w:tcW w:w="1755" w:type="dxa"/>
            <w:shd w:val="clear" w:color="auto" w:fill="auto"/>
            <w:tcMar>
              <w:top w:w="100" w:type="dxa"/>
              <w:left w:w="100" w:type="dxa"/>
              <w:bottom w:w="100" w:type="dxa"/>
              <w:right w:w="100" w:type="dxa"/>
            </w:tcMar>
          </w:tcPr>
          <w:p w14:paraId="0008A7DF" w14:textId="77777777" w:rsidR="00A05AD3" w:rsidRDefault="00000000">
            <w:pPr>
              <w:widowControl w:val="0"/>
              <w:spacing w:after="0" w:line="240" w:lineRule="auto"/>
              <w:contextualSpacing/>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r>
      <w:tr w:rsidR="00A05AD3" w14:paraId="1C6B4072" w14:textId="77777777">
        <w:tc>
          <w:tcPr>
            <w:tcW w:w="975" w:type="dxa"/>
            <w:shd w:val="clear" w:color="auto" w:fill="auto"/>
            <w:tcMar>
              <w:top w:w="100" w:type="dxa"/>
              <w:left w:w="100" w:type="dxa"/>
              <w:bottom w:w="100" w:type="dxa"/>
              <w:right w:w="100" w:type="dxa"/>
            </w:tcMar>
          </w:tcPr>
          <w:p w14:paraId="56B54EB8" w14:textId="77777777" w:rsidR="00A05AD3" w:rsidRDefault="00000000">
            <w:pPr>
              <w:widowControl w:val="0"/>
              <w:spacing w:after="0" w:line="240" w:lineRule="auto"/>
              <w:contextualSpacing/>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3</w:t>
            </w:r>
          </w:p>
        </w:tc>
        <w:tc>
          <w:tcPr>
            <w:tcW w:w="6315" w:type="dxa"/>
            <w:shd w:val="clear" w:color="auto" w:fill="auto"/>
            <w:tcMar>
              <w:top w:w="100" w:type="dxa"/>
              <w:left w:w="100" w:type="dxa"/>
              <w:bottom w:w="100" w:type="dxa"/>
              <w:right w:w="100" w:type="dxa"/>
            </w:tcMar>
          </w:tcPr>
          <w:p w14:paraId="0499D7D1" w14:textId="77777777" w:rsidR="00A05AD3" w:rsidRDefault="00000000">
            <w:pPr>
              <w:widowControl w:val="0"/>
              <w:spacing w:after="0" w:line="240" w:lineRule="auto"/>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Scanner de mesa</w:t>
            </w:r>
            <w:r>
              <w:rPr>
                <w:rFonts w:ascii="Times New Roman" w:eastAsia="Times New Roman" w:hAnsi="Times New Roman" w:cs="Times New Roman"/>
                <w:sz w:val="26"/>
                <w:szCs w:val="26"/>
              </w:rPr>
              <w:t xml:space="preserve">, compacto, velocidade de produção: 40 </w:t>
            </w:r>
            <w:proofErr w:type="spellStart"/>
            <w:r>
              <w:rPr>
                <w:rFonts w:ascii="Times New Roman" w:eastAsia="Times New Roman" w:hAnsi="Times New Roman" w:cs="Times New Roman"/>
                <w:sz w:val="26"/>
                <w:szCs w:val="26"/>
              </w:rPr>
              <w:t>ppm</w:t>
            </w:r>
            <w:proofErr w:type="spellEnd"/>
            <w:r>
              <w:rPr>
                <w:rFonts w:ascii="Times New Roman" w:eastAsia="Times New Roman" w:hAnsi="Times New Roman" w:cs="Times New Roman"/>
                <w:sz w:val="26"/>
                <w:szCs w:val="26"/>
              </w:rPr>
              <w:t xml:space="preserve">/80ipm, capacidade do alimentador: até 80 folhas de papel, conectividade/; compatível com USB 3.2, tamanho máximo do documento: 216mm x 3000 mm (8,5 pol. X 2,05 pol.), tamanho mínimo do documento 52mm x 52 mm, garantia de 12 meses, </w:t>
            </w:r>
            <w:proofErr w:type="spellStart"/>
            <w:r>
              <w:rPr>
                <w:rFonts w:ascii="Times New Roman" w:eastAsia="Times New Roman" w:hAnsi="Times New Roman" w:cs="Times New Roman"/>
                <w:sz w:val="26"/>
                <w:szCs w:val="26"/>
              </w:rPr>
              <w:t>on</w:t>
            </w:r>
            <w:proofErr w:type="spellEnd"/>
            <w:r>
              <w:rPr>
                <w:rFonts w:ascii="Times New Roman" w:eastAsia="Times New Roman" w:hAnsi="Times New Roman" w:cs="Times New Roman"/>
                <w:sz w:val="26"/>
                <w:szCs w:val="26"/>
              </w:rPr>
              <w:t xml:space="preserve"> site.</w:t>
            </w:r>
          </w:p>
        </w:tc>
        <w:tc>
          <w:tcPr>
            <w:tcW w:w="1755" w:type="dxa"/>
            <w:shd w:val="clear" w:color="auto" w:fill="auto"/>
            <w:tcMar>
              <w:top w:w="100" w:type="dxa"/>
              <w:left w:w="100" w:type="dxa"/>
              <w:bottom w:w="100" w:type="dxa"/>
              <w:right w:w="100" w:type="dxa"/>
            </w:tcMar>
          </w:tcPr>
          <w:p w14:paraId="1CF920C7" w14:textId="77777777" w:rsidR="00A05AD3" w:rsidRDefault="00000000">
            <w:pPr>
              <w:widowControl w:val="0"/>
              <w:spacing w:after="0" w:line="240" w:lineRule="auto"/>
              <w:contextualSpacing/>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r>
      <w:tr w:rsidR="00A05AD3" w14:paraId="21BDE6A1" w14:textId="77777777" w:rsidTr="00F048FE">
        <w:trPr>
          <w:trHeight w:val="129"/>
        </w:trPr>
        <w:tc>
          <w:tcPr>
            <w:tcW w:w="9045" w:type="dxa"/>
            <w:gridSpan w:val="3"/>
            <w:shd w:val="clear" w:color="auto" w:fill="auto"/>
            <w:tcMar>
              <w:top w:w="100" w:type="dxa"/>
              <w:left w:w="100" w:type="dxa"/>
              <w:bottom w:w="100" w:type="dxa"/>
              <w:right w:w="100" w:type="dxa"/>
            </w:tcMar>
          </w:tcPr>
          <w:p w14:paraId="59941A32" w14:textId="77777777" w:rsidR="00A05AD3" w:rsidRDefault="00000000">
            <w:pPr>
              <w:widowControl w:val="0"/>
              <w:spacing w:after="0" w:line="240" w:lineRule="auto"/>
              <w:contextualSpacing/>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LOTE 3</w:t>
            </w:r>
          </w:p>
        </w:tc>
      </w:tr>
      <w:tr w:rsidR="00A05AD3" w14:paraId="452DFF78" w14:textId="77777777">
        <w:tc>
          <w:tcPr>
            <w:tcW w:w="975" w:type="dxa"/>
            <w:shd w:val="clear" w:color="auto" w:fill="auto"/>
            <w:tcMar>
              <w:top w:w="100" w:type="dxa"/>
              <w:left w:w="100" w:type="dxa"/>
              <w:bottom w:w="100" w:type="dxa"/>
              <w:right w:w="100" w:type="dxa"/>
            </w:tcMar>
          </w:tcPr>
          <w:p w14:paraId="0D4568A3" w14:textId="77777777" w:rsidR="00A05AD3" w:rsidRDefault="00000000">
            <w:pPr>
              <w:widowControl w:val="0"/>
              <w:spacing w:after="0" w:line="240" w:lineRule="auto"/>
              <w:contextualSpacing/>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Item</w:t>
            </w:r>
          </w:p>
        </w:tc>
        <w:tc>
          <w:tcPr>
            <w:tcW w:w="6315" w:type="dxa"/>
            <w:shd w:val="clear" w:color="auto" w:fill="auto"/>
            <w:tcMar>
              <w:top w:w="100" w:type="dxa"/>
              <w:left w:w="100" w:type="dxa"/>
              <w:bottom w:w="100" w:type="dxa"/>
              <w:right w:w="100" w:type="dxa"/>
            </w:tcMar>
          </w:tcPr>
          <w:p w14:paraId="3ACBE6E5" w14:textId="77777777" w:rsidR="00A05AD3" w:rsidRDefault="00000000">
            <w:pPr>
              <w:widowControl w:val="0"/>
              <w:spacing w:after="0" w:line="240" w:lineRule="auto"/>
              <w:contextualSpacing/>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Descrição</w:t>
            </w:r>
          </w:p>
        </w:tc>
        <w:tc>
          <w:tcPr>
            <w:tcW w:w="1755" w:type="dxa"/>
            <w:shd w:val="clear" w:color="auto" w:fill="auto"/>
            <w:tcMar>
              <w:top w:w="100" w:type="dxa"/>
              <w:left w:w="100" w:type="dxa"/>
              <w:bottom w:w="100" w:type="dxa"/>
              <w:right w:w="100" w:type="dxa"/>
            </w:tcMar>
          </w:tcPr>
          <w:p w14:paraId="3B65A314" w14:textId="77777777" w:rsidR="00A05AD3" w:rsidRDefault="00000000">
            <w:pPr>
              <w:widowControl w:val="0"/>
              <w:spacing w:after="0" w:line="240" w:lineRule="auto"/>
              <w:contextualSpacing/>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Quantidade</w:t>
            </w:r>
          </w:p>
        </w:tc>
      </w:tr>
      <w:tr w:rsidR="00A05AD3" w14:paraId="7CCF8DD2" w14:textId="77777777">
        <w:tc>
          <w:tcPr>
            <w:tcW w:w="975" w:type="dxa"/>
            <w:shd w:val="clear" w:color="auto" w:fill="auto"/>
            <w:tcMar>
              <w:top w:w="100" w:type="dxa"/>
              <w:left w:w="100" w:type="dxa"/>
              <w:bottom w:w="100" w:type="dxa"/>
              <w:right w:w="100" w:type="dxa"/>
            </w:tcMar>
          </w:tcPr>
          <w:p w14:paraId="10AE8A32" w14:textId="77777777" w:rsidR="00A05AD3" w:rsidRDefault="00000000">
            <w:pPr>
              <w:widowControl w:val="0"/>
              <w:spacing w:after="0" w:line="240" w:lineRule="auto"/>
              <w:contextualSpacing/>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6315" w:type="dxa"/>
            <w:shd w:val="clear" w:color="auto" w:fill="auto"/>
            <w:tcMar>
              <w:top w:w="100" w:type="dxa"/>
              <w:left w:w="100" w:type="dxa"/>
              <w:bottom w:w="100" w:type="dxa"/>
              <w:right w:w="100" w:type="dxa"/>
            </w:tcMar>
          </w:tcPr>
          <w:p w14:paraId="12F84D59" w14:textId="77777777" w:rsidR="00A05AD3" w:rsidRDefault="00000000">
            <w:pPr>
              <w:widowControl w:val="0"/>
              <w:spacing w:after="0" w:line="240" w:lineRule="auto"/>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Aparelho de </w:t>
            </w:r>
            <w:proofErr w:type="gramStart"/>
            <w:r>
              <w:rPr>
                <w:rFonts w:ascii="Times New Roman" w:eastAsia="Times New Roman" w:hAnsi="Times New Roman" w:cs="Times New Roman"/>
                <w:b/>
                <w:sz w:val="26"/>
                <w:szCs w:val="26"/>
              </w:rPr>
              <w:t>Ar condicionado</w:t>
            </w:r>
            <w:proofErr w:type="gramEnd"/>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 xml:space="preserve">12.000 BTUS, split </w:t>
            </w:r>
            <w:proofErr w:type="spellStart"/>
            <w:r>
              <w:rPr>
                <w:rFonts w:ascii="Times New Roman" w:eastAsia="Times New Roman" w:hAnsi="Times New Roman" w:cs="Times New Roman"/>
                <w:sz w:val="26"/>
                <w:szCs w:val="26"/>
              </w:rPr>
              <w:t>hi</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wall</w:t>
            </w:r>
            <w:proofErr w:type="spellEnd"/>
            <w:r>
              <w:rPr>
                <w:rFonts w:ascii="Times New Roman" w:eastAsia="Times New Roman" w:hAnsi="Times New Roman" w:cs="Times New Roman"/>
                <w:sz w:val="26"/>
                <w:szCs w:val="26"/>
              </w:rPr>
              <w:t xml:space="preserve">, inverter, ciclo frio, voltagem 220V, com selo </w:t>
            </w:r>
            <w:proofErr w:type="spellStart"/>
            <w:r>
              <w:rPr>
                <w:rFonts w:ascii="Times New Roman" w:eastAsia="Times New Roman" w:hAnsi="Times New Roman" w:cs="Times New Roman"/>
                <w:sz w:val="26"/>
                <w:szCs w:val="26"/>
              </w:rPr>
              <w:t>procel</w:t>
            </w:r>
            <w:proofErr w:type="spellEnd"/>
            <w:r>
              <w:rPr>
                <w:rFonts w:ascii="Times New Roman" w:eastAsia="Times New Roman" w:hAnsi="Times New Roman" w:cs="Times New Roman"/>
                <w:sz w:val="26"/>
                <w:szCs w:val="26"/>
              </w:rPr>
              <w:t xml:space="preserve">, classificação com selo </w:t>
            </w:r>
            <w:proofErr w:type="spellStart"/>
            <w:r>
              <w:rPr>
                <w:rFonts w:ascii="Times New Roman" w:eastAsia="Times New Roman" w:hAnsi="Times New Roman" w:cs="Times New Roman"/>
                <w:sz w:val="26"/>
                <w:szCs w:val="26"/>
              </w:rPr>
              <w:t>procel</w:t>
            </w:r>
            <w:proofErr w:type="spellEnd"/>
            <w:r>
              <w:rPr>
                <w:rFonts w:ascii="Times New Roman" w:eastAsia="Times New Roman" w:hAnsi="Times New Roman" w:cs="Times New Roman"/>
                <w:sz w:val="26"/>
                <w:szCs w:val="26"/>
              </w:rPr>
              <w:t xml:space="preserve"> letra A, controle remoto sem fio, garantia mínima 12 meses.</w:t>
            </w:r>
          </w:p>
        </w:tc>
        <w:tc>
          <w:tcPr>
            <w:tcW w:w="1755" w:type="dxa"/>
            <w:shd w:val="clear" w:color="auto" w:fill="auto"/>
            <w:tcMar>
              <w:top w:w="100" w:type="dxa"/>
              <w:left w:w="100" w:type="dxa"/>
              <w:bottom w:w="100" w:type="dxa"/>
              <w:right w:w="100" w:type="dxa"/>
            </w:tcMar>
          </w:tcPr>
          <w:p w14:paraId="5ABC171D" w14:textId="77777777" w:rsidR="00A05AD3" w:rsidRDefault="00000000">
            <w:pPr>
              <w:widowControl w:val="0"/>
              <w:spacing w:after="0" w:line="240" w:lineRule="auto"/>
              <w:contextualSpacing/>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tc>
      </w:tr>
      <w:tr w:rsidR="00A05AD3" w14:paraId="0B6D664B" w14:textId="77777777">
        <w:tc>
          <w:tcPr>
            <w:tcW w:w="975" w:type="dxa"/>
            <w:shd w:val="clear" w:color="auto" w:fill="auto"/>
            <w:tcMar>
              <w:top w:w="100" w:type="dxa"/>
              <w:left w:w="100" w:type="dxa"/>
              <w:bottom w:w="100" w:type="dxa"/>
              <w:right w:w="100" w:type="dxa"/>
            </w:tcMar>
          </w:tcPr>
          <w:p w14:paraId="4180ACC5" w14:textId="77777777" w:rsidR="00A05AD3" w:rsidRDefault="00000000">
            <w:pPr>
              <w:widowControl w:val="0"/>
              <w:spacing w:after="0" w:line="240" w:lineRule="auto"/>
              <w:contextualSpacing/>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6315" w:type="dxa"/>
            <w:shd w:val="clear" w:color="auto" w:fill="auto"/>
            <w:tcMar>
              <w:top w:w="100" w:type="dxa"/>
              <w:left w:w="100" w:type="dxa"/>
              <w:bottom w:w="100" w:type="dxa"/>
              <w:right w:w="100" w:type="dxa"/>
            </w:tcMar>
          </w:tcPr>
          <w:p w14:paraId="0070E899" w14:textId="77777777" w:rsidR="00A05AD3" w:rsidRDefault="00000000">
            <w:pPr>
              <w:widowControl w:val="0"/>
              <w:spacing w:after="0" w:line="240" w:lineRule="auto"/>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Aparelho de </w:t>
            </w:r>
            <w:proofErr w:type="gramStart"/>
            <w:r>
              <w:rPr>
                <w:rFonts w:ascii="Times New Roman" w:eastAsia="Times New Roman" w:hAnsi="Times New Roman" w:cs="Times New Roman"/>
                <w:b/>
                <w:sz w:val="26"/>
                <w:szCs w:val="26"/>
              </w:rPr>
              <w:t>Ar condicionado</w:t>
            </w:r>
            <w:proofErr w:type="gramEnd"/>
            <w:r>
              <w:rPr>
                <w:rFonts w:ascii="Times New Roman" w:eastAsia="Times New Roman" w:hAnsi="Times New Roman" w:cs="Times New Roman"/>
                <w:sz w:val="26"/>
                <w:szCs w:val="26"/>
              </w:rPr>
              <w:t xml:space="preserve">, 18.000 BTUS   split </w:t>
            </w:r>
            <w:proofErr w:type="spellStart"/>
            <w:r>
              <w:rPr>
                <w:rFonts w:ascii="Times New Roman" w:eastAsia="Times New Roman" w:hAnsi="Times New Roman" w:cs="Times New Roman"/>
                <w:sz w:val="26"/>
                <w:szCs w:val="26"/>
              </w:rPr>
              <w:t>hi</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wall</w:t>
            </w:r>
            <w:proofErr w:type="spellEnd"/>
            <w:r>
              <w:rPr>
                <w:rFonts w:ascii="Times New Roman" w:eastAsia="Times New Roman" w:hAnsi="Times New Roman" w:cs="Times New Roman"/>
                <w:sz w:val="26"/>
                <w:szCs w:val="26"/>
              </w:rPr>
              <w:t>, inverter, ciclo frio, voltagem 220V, com selo Procel, classificação com selo Procel letra A, controle remoto sem fio, garantia mínima 12 meses.</w:t>
            </w:r>
          </w:p>
        </w:tc>
        <w:tc>
          <w:tcPr>
            <w:tcW w:w="1755" w:type="dxa"/>
            <w:shd w:val="clear" w:color="auto" w:fill="auto"/>
            <w:tcMar>
              <w:top w:w="100" w:type="dxa"/>
              <w:left w:w="100" w:type="dxa"/>
              <w:bottom w:w="100" w:type="dxa"/>
              <w:right w:w="100" w:type="dxa"/>
            </w:tcMar>
          </w:tcPr>
          <w:p w14:paraId="0697DFB2" w14:textId="77777777" w:rsidR="00A05AD3" w:rsidRDefault="00000000">
            <w:pPr>
              <w:widowControl w:val="0"/>
              <w:spacing w:after="0" w:line="240" w:lineRule="auto"/>
              <w:contextualSpacing/>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r>
    </w:tbl>
    <w:p w14:paraId="7EF9F3D0" w14:textId="77777777" w:rsidR="00A05AD3" w:rsidRDefault="00000000">
      <w:pPr>
        <w:widowControl w:val="0"/>
        <w:tabs>
          <w:tab w:val="left" w:pos="1447"/>
        </w:tabs>
        <w:spacing w:before="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br/>
        <w:t xml:space="preserve">2.2 Os computadores </w:t>
      </w:r>
      <w:proofErr w:type="gramStart"/>
      <w:r>
        <w:rPr>
          <w:rFonts w:ascii="Times New Roman" w:eastAsia="Times New Roman" w:hAnsi="Times New Roman" w:cs="Times New Roman"/>
          <w:sz w:val="26"/>
          <w:szCs w:val="26"/>
        </w:rPr>
        <w:t>tipo notebook deverão</w:t>
      </w:r>
      <w:proofErr w:type="gramEnd"/>
      <w:r>
        <w:rPr>
          <w:rFonts w:ascii="Times New Roman" w:eastAsia="Times New Roman" w:hAnsi="Times New Roman" w:cs="Times New Roman"/>
          <w:sz w:val="26"/>
          <w:szCs w:val="26"/>
        </w:rPr>
        <w:t xml:space="preserve"> conter as seguintes certificações de qualidade:</w:t>
      </w:r>
    </w:p>
    <w:p w14:paraId="560B65B5" w14:textId="77777777" w:rsidR="00A05AD3" w:rsidRDefault="00A05AD3">
      <w:pPr>
        <w:widowControl w:val="0"/>
        <w:tabs>
          <w:tab w:val="left" w:pos="1447"/>
        </w:tabs>
        <w:spacing w:before="1" w:after="0" w:line="240" w:lineRule="auto"/>
        <w:jc w:val="both"/>
        <w:rPr>
          <w:rFonts w:ascii="Times New Roman" w:eastAsia="Times New Roman" w:hAnsi="Times New Roman" w:cs="Times New Roman"/>
          <w:sz w:val="26"/>
          <w:szCs w:val="26"/>
        </w:rPr>
      </w:pPr>
    </w:p>
    <w:sdt>
      <w:sdtPr>
        <w:tag w:val="goog_rdk_0"/>
        <w:id w:val="-1799139414"/>
        <w:lock w:val="contentLocked"/>
      </w:sdtPr>
      <w:sdtContent>
        <w:tbl>
          <w:tblPr>
            <w:tblStyle w:val="a4"/>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0"/>
            <w:gridCol w:w="8010"/>
          </w:tblGrid>
          <w:tr w:rsidR="00A05AD3" w14:paraId="3D5B8149" w14:textId="77777777">
            <w:trPr>
              <w:trHeight w:val="460"/>
            </w:trPr>
            <w:tc>
              <w:tcPr>
                <w:tcW w:w="8999" w:type="dxa"/>
                <w:gridSpan w:val="2"/>
                <w:shd w:val="clear" w:color="auto" w:fill="auto"/>
                <w:tcMar>
                  <w:top w:w="100" w:type="dxa"/>
                  <w:left w:w="100" w:type="dxa"/>
                  <w:bottom w:w="100" w:type="dxa"/>
                  <w:right w:w="100" w:type="dxa"/>
                </w:tcMar>
              </w:tcPr>
              <w:p w14:paraId="0E49B96F" w14:textId="77777777" w:rsidR="00A05AD3"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CERTIFICAÇÕES E COMPATIBILIDADE</w:t>
                </w:r>
              </w:p>
            </w:tc>
          </w:tr>
          <w:tr w:rsidR="00A05AD3" w14:paraId="6D825000" w14:textId="77777777">
            <w:trPr>
              <w:trHeight w:val="460"/>
            </w:trPr>
            <w:tc>
              <w:tcPr>
                <w:tcW w:w="990" w:type="dxa"/>
                <w:shd w:val="clear" w:color="auto" w:fill="auto"/>
                <w:tcMar>
                  <w:top w:w="100" w:type="dxa"/>
                  <w:left w:w="100" w:type="dxa"/>
                  <w:bottom w:w="100" w:type="dxa"/>
                  <w:right w:w="100" w:type="dxa"/>
                </w:tcMar>
              </w:tcPr>
              <w:p w14:paraId="7A7B9C91" w14:textId="77777777" w:rsidR="00A05AD3"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Item</w:t>
                </w:r>
              </w:p>
            </w:tc>
            <w:tc>
              <w:tcPr>
                <w:tcW w:w="8009" w:type="dxa"/>
                <w:shd w:val="clear" w:color="auto" w:fill="auto"/>
                <w:tcMar>
                  <w:top w:w="100" w:type="dxa"/>
                  <w:left w:w="100" w:type="dxa"/>
                  <w:bottom w:w="100" w:type="dxa"/>
                  <w:right w:w="100" w:type="dxa"/>
                </w:tcMar>
              </w:tcPr>
              <w:p w14:paraId="733258B7" w14:textId="77777777" w:rsidR="00A05AD3"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Descrição</w:t>
                </w:r>
              </w:p>
            </w:tc>
          </w:tr>
          <w:tr w:rsidR="00A05AD3" w14:paraId="68A1BCD0" w14:textId="77777777">
            <w:trPr>
              <w:trHeight w:val="460"/>
            </w:trPr>
            <w:tc>
              <w:tcPr>
                <w:tcW w:w="990" w:type="dxa"/>
                <w:shd w:val="clear" w:color="auto" w:fill="auto"/>
                <w:tcMar>
                  <w:top w:w="100" w:type="dxa"/>
                  <w:left w:w="100" w:type="dxa"/>
                  <w:bottom w:w="100" w:type="dxa"/>
                  <w:right w:w="100" w:type="dxa"/>
                </w:tcMar>
              </w:tcPr>
              <w:p w14:paraId="3B440304" w14:textId="77777777" w:rsidR="00A05AD3"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8009" w:type="dxa"/>
                <w:shd w:val="clear" w:color="auto" w:fill="auto"/>
                <w:tcMar>
                  <w:top w:w="100" w:type="dxa"/>
                  <w:left w:w="100" w:type="dxa"/>
                  <w:bottom w:w="100" w:type="dxa"/>
                  <w:right w:w="100" w:type="dxa"/>
                </w:tcMar>
              </w:tcPr>
              <w:p w14:paraId="3B348366" w14:textId="77777777" w:rsidR="00A05AD3" w:rsidRDefault="00000000">
                <w:pPr>
                  <w:widowControl w:val="0"/>
                  <w:pBdr>
                    <w:top w:val="nil"/>
                    <w:left w:val="nil"/>
                    <w:bottom w:val="nil"/>
                    <w:right w:val="nil"/>
                    <w:between w:val="nil"/>
                  </w:pBd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Deverá vir acompanhando a proposta, cópia do atestado de conformidade para o equipamento, emitido por um órgão credenciado pelo INMETRO ou documento internacional similar, comprovando que o equipamento está em conformidade com as normas IEC60950 (Safety of Information Technology Equipament Including Eletrical Business Equipament);</w:t>
                </w:r>
              </w:p>
            </w:tc>
          </w:tr>
          <w:tr w:rsidR="00A05AD3" w14:paraId="2EEFFCFB" w14:textId="77777777">
            <w:trPr>
              <w:trHeight w:val="460"/>
            </w:trPr>
            <w:tc>
              <w:tcPr>
                <w:tcW w:w="990" w:type="dxa"/>
                <w:shd w:val="clear" w:color="auto" w:fill="auto"/>
                <w:tcMar>
                  <w:top w:w="100" w:type="dxa"/>
                  <w:left w:w="100" w:type="dxa"/>
                  <w:bottom w:w="100" w:type="dxa"/>
                  <w:right w:w="100" w:type="dxa"/>
                </w:tcMar>
              </w:tcPr>
              <w:p w14:paraId="1FD572D2" w14:textId="77777777" w:rsidR="00A05AD3"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8009" w:type="dxa"/>
                <w:shd w:val="clear" w:color="auto" w:fill="auto"/>
                <w:tcMar>
                  <w:top w:w="100" w:type="dxa"/>
                  <w:left w:w="100" w:type="dxa"/>
                  <w:bottom w:w="100" w:type="dxa"/>
                  <w:right w:w="100" w:type="dxa"/>
                </w:tcMar>
              </w:tcPr>
              <w:p w14:paraId="5AA2B469" w14:textId="77777777" w:rsidR="00A05AD3" w:rsidRDefault="00000000">
                <w:pPr>
                  <w:widowControl w:val="0"/>
                  <w:pBdr>
                    <w:top w:val="nil"/>
                    <w:left w:val="nil"/>
                    <w:bottom w:val="nil"/>
                    <w:right w:val="nil"/>
                    <w:between w:val="nil"/>
                  </w:pBd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Deverá possuir atestado de conformidade EPEAT em qualquer nível; ou, alternativamente, comprovação de conformidade com certificado EPEAT, apresentação da certificação ISO 14001;</w:t>
                </w:r>
              </w:p>
            </w:tc>
          </w:tr>
          <w:tr w:rsidR="00A05AD3" w14:paraId="1ACA85A3" w14:textId="77777777">
            <w:trPr>
              <w:trHeight w:val="460"/>
            </w:trPr>
            <w:tc>
              <w:tcPr>
                <w:tcW w:w="990" w:type="dxa"/>
                <w:shd w:val="clear" w:color="auto" w:fill="auto"/>
                <w:tcMar>
                  <w:top w:w="100" w:type="dxa"/>
                  <w:left w:w="100" w:type="dxa"/>
                  <w:bottom w:w="100" w:type="dxa"/>
                  <w:right w:w="100" w:type="dxa"/>
                </w:tcMar>
              </w:tcPr>
              <w:p w14:paraId="47C9050C" w14:textId="77777777" w:rsidR="00A05AD3"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3</w:t>
                </w:r>
              </w:p>
            </w:tc>
            <w:tc>
              <w:tcPr>
                <w:tcW w:w="8009" w:type="dxa"/>
                <w:shd w:val="clear" w:color="auto" w:fill="auto"/>
                <w:tcMar>
                  <w:top w:w="100" w:type="dxa"/>
                  <w:left w:w="100" w:type="dxa"/>
                  <w:bottom w:w="100" w:type="dxa"/>
                  <w:right w:w="100" w:type="dxa"/>
                </w:tcMar>
              </w:tcPr>
              <w:p w14:paraId="05D36B5D" w14:textId="77777777" w:rsidR="00A05AD3" w:rsidRDefault="00000000">
                <w:pPr>
                  <w:widowControl w:val="0"/>
                  <w:pBdr>
                    <w:top w:val="nil"/>
                    <w:left w:val="nil"/>
                    <w:bottom w:val="nil"/>
                    <w:right w:val="nil"/>
                    <w:between w:val="nil"/>
                  </w:pBd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Demonstrar (mediante apresentação de catálogos, especificações, manuais, etc) que os equipamentos fornecidos, periféricos, acessórios e componentes da instalação não contêm substâncias perigosas como mercúrio (Hg), chumbo (Pb), cromo hexavalente (Cr(VI)), cádmio (Cd), bifenilpolibromados (PBBs), éteres difenilpolibromados (PBDEs) em concentração acima da recomendada pela diretiva da Comunidade Econômica Européia Restriction of Certain Hazardous Substances RoHS (IN nº 1/2010 - Secretaria de Logística e Tecnologia da Informação (SLTI) do Ministério do Planejamento, Orçamento e Gestão);</w:t>
                </w:r>
              </w:p>
            </w:tc>
          </w:tr>
          <w:tr w:rsidR="00A05AD3" w14:paraId="27893809" w14:textId="77777777">
            <w:trPr>
              <w:trHeight w:val="460"/>
            </w:trPr>
            <w:tc>
              <w:tcPr>
                <w:tcW w:w="990" w:type="dxa"/>
                <w:shd w:val="clear" w:color="auto" w:fill="auto"/>
                <w:tcMar>
                  <w:top w:w="100" w:type="dxa"/>
                  <w:left w:w="100" w:type="dxa"/>
                  <w:bottom w:w="100" w:type="dxa"/>
                  <w:right w:w="100" w:type="dxa"/>
                </w:tcMar>
              </w:tcPr>
              <w:p w14:paraId="66757031" w14:textId="77777777" w:rsidR="00A05AD3"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8009" w:type="dxa"/>
                <w:shd w:val="clear" w:color="auto" w:fill="auto"/>
                <w:tcMar>
                  <w:top w:w="100" w:type="dxa"/>
                  <w:left w:w="100" w:type="dxa"/>
                  <w:bottom w:w="100" w:type="dxa"/>
                  <w:right w:w="100" w:type="dxa"/>
                </w:tcMar>
              </w:tcPr>
              <w:p w14:paraId="425DE78F" w14:textId="77777777" w:rsidR="00A05AD3" w:rsidRDefault="00000000">
                <w:pPr>
                  <w:widowControl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Deverá ser fornecida licença do Sistema Operacional Microsoft Windows 11, versão Profissional 64 bits, com build atualizada à ocasião da entrega, em modalidade OEM, pré-instalada na imagem oferecida pela CONTRATANTE, acompanhada de todos os drivers de dispositivos do equipamento fornecido.</w:t>
                </w:r>
              </w:p>
            </w:tc>
          </w:tr>
        </w:tbl>
      </w:sdtContent>
    </w:sdt>
    <w:p w14:paraId="56377800" w14:textId="77777777" w:rsidR="00A05AD3" w:rsidRDefault="00000000">
      <w:pPr>
        <w:widowControl w:val="0"/>
        <w:tabs>
          <w:tab w:val="left" w:pos="1447"/>
        </w:tabs>
        <w:spacing w:before="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290383D3" w14:textId="77777777" w:rsidR="00A05AD3" w:rsidRDefault="00000000">
      <w:pPr>
        <w:widowControl w:val="0"/>
        <w:tabs>
          <w:tab w:val="left" w:pos="1447"/>
        </w:tabs>
        <w:spacing w:before="1"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2.3 Os aparelhos de ar-condicionado deverão conter as seguintes certificações de qualidade:</w:t>
      </w:r>
    </w:p>
    <w:p w14:paraId="06E4F7BE" w14:textId="77777777" w:rsidR="00A05AD3" w:rsidRDefault="00A05AD3">
      <w:pPr>
        <w:widowControl w:val="0"/>
        <w:tabs>
          <w:tab w:val="left" w:pos="1447"/>
        </w:tabs>
        <w:spacing w:before="1" w:after="0" w:line="240" w:lineRule="auto"/>
        <w:jc w:val="both"/>
        <w:rPr>
          <w:rFonts w:ascii="Times New Roman" w:eastAsia="Times New Roman" w:hAnsi="Times New Roman" w:cs="Times New Roman"/>
          <w:sz w:val="26"/>
          <w:szCs w:val="26"/>
        </w:rPr>
      </w:pPr>
    </w:p>
    <w:sdt>
      <w:sdtPr>
        <w:tag w:val="goog_rdk_1"/>
        <w:id w:val="-1799061720"/>
        <w:lock w:val="contentLocked"/>
      </w:sdtPr>
      <w:sdtContent>
        <w:tbl>
          <w:tblPr>
            <w:tblStyle w:val="a5"/>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0"/>
            <w:gridCol w:w="8010"/>
          </w:tblGrid>
          <w:tr w:rsidR="00A05AD3" w14:paraId="53EE9D76" w14:textId="77777777">
            <w:trPr>
              <w:trHeight w:val="460"/>
            </w:trPr>
            <w:tc>
              <w:tcPr>
                <w:tcW w:w="8999" w:type="dxa"/>
                <w:gridSpan w:val="2"/>
                <w:shd w:val="clear" w:color="auto" w:fill="auto"/>
                <w:tcMar>
                  <w:top w:w="100" w:type="dxa"/>
                  <w:left w:w="100" w:type="dxa"/>
                  <w:bottom w:w="100" w:type="dxa"/>
                  <w:right w:w="100" w:type="dxa"/>
                </w:tcMar>
              </w:tcPr>
              <w:p w14:paraId="1900EF72" w14:textId="77777777" w:rsidR="00A05AD3" w:rsidRDefault="00000000">
                <w:pPr>
                  <w:widowControl w:val="0"/>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CERTIFICAÇÕES E COMPATIBILIDADE</w:t>
                </w:r>
              </w:p>
            </w:tc>
          </w:tr>
          <w:tr w:rsidR="00A05AD3" w14:paraId="55CEFB4F" w14:textId="77777777">
            <w:trPr>
              <w:trHeight w:val="460"/>
            </w:trPr>
            <w:tc>
              <w:tcPr>
                <w:tcW w:w="990" w:type="dxa"/>
                <w:shd w:val="clear" w:color="auto" w:fill="auto"/>
                <w:tcMar>
                  <w:top w:w="100" w:type="dxa"/>
                  <w:left w:w="100" w:type="dxa"/>
                  <w:bottom w:w="100" w:type="dxa"/>
                  <w:right w:w="100" w:type="dxa"/>
                </w:tcMar>
              </w:tcPr>
              <w:p w14:paraId="041BA8CA" w14:textId="77777777" w:rsidR="00A05AD3" w:rsidRDefault="00000000">
                <w:pPr>
                  <w:widowControl w:val="0"/>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Item</w:t>
                </w:r>
              </w:p>
            </w:tc>
            <w:tc>
              <w:tcPr>
                <w:tcW w:w="8009" w:type="dxa"/>
                <w:shd w:val="clear" w:color="auto" w:fill="auto"/>
                <w:tcMar>
                  <w:top w:w="100" w:type="dxa"/>
                  <w:left w:w="100" w:type="dxa"/>
                  <w:bottom w:w="100" w:type="dxa"/>
                  <w:right w:w="100" w:type="dxa"/>
                </w:tcMar>
              </w:tcPr>
              <w:p w14:paraId="3426F698" w14:textId="77777777" w:rsidR="00A05AD3" w:rsidRDefault="00000000">
                <w:pPr>
                  <w:widowControl w:val="0"/>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Descrição</w:t>
                </w:r>
              </w:p>
            </w:tc>
          </w:tr>
          <w:tr w:rsidR="00A05AD3" w14:paraId="02F144C3" w14:textId="77777777">
            <w:trPr>
              <w:trHeight w:val="460"/>
            </w:trPr>
            <w:tc>
              <w:tcPr>
                <w:tcW w:w="990" w:type="dxa"/>
                <w:shd w:val="clear" w:color="auto" w:fill="auto"/>
                <w:tcMar>
                  <w:top w:w="100" w:type="dxa"/>
                  <w:left w:w="100" w:type="dxa"/>
                  <w:bottom w:w="100" w:type="dxa"/>
                  <w:right w:w="100" w:type="dxa"/>
                </w:tcMar>
              </w:tcPr>
              <w:p w14:paraId="008BFA97" w14:textId="77777777" w:rsidR="00A05AD3" w:rsidRDefault="00000000">
                <w:pPr>
                  <w:widowControl w:val="0"/>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8009" w:type="dxa"/>
                <w:shd w:val="clear" w:color="auto" w:fill="auto"/>
                <w:tcMar>
                  <w:top w:w="100" w:type="dxa"/>
                  <w:left w:w="100" w:type="dxa"/>
                  <w:bottom w:w="100" w:type="dxa"/>
                  <w:right w:w="100" w:type="dxa"/>
                </w:tcMar>
              </w:tcPr>
              <w:p w14:paraId="1519341F" w14:textId="77777777" w:rsidR="00A05AD3" w:rsidRDefault="00000000">
                <w:pPr>
                  <w:widowControl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Os equipamentos deverão ter o selo do INMETRO, bem como a classificação de eficiência energética “A”. O objeto da aquisição deverá possuir a Etiqueta Nacional de Conservação de Energia – ENCE, na classe A, nos termos da Portaria INMETRO n. 269, de 22 de junho de 2021, que aprova os Requisitos de Avaliação da Conformidade – RAC do produto e trata da etiquetagem compulsória. </w:t>
                </w:r>
              </w:p>
            </w:tc>
          </w:tr>
        </w:tbl>
      </w:sdtContent>
    </w:sdt>
    <w:p w14:paraId="7CE78DFE" w14:textId="77777777" w:rsidR="00A05AD3" w:rsidRDefault="00A05AD3">
      <w:pPr>
        <w:widowControl w:val="0"/>
        <w:tabs>
          <w:tab w:val="left" w:pos="1447"/>
        </w:tabs>
        <w:spacing w:before="1" w:after="0" w:line="240" w:lineRule="auto"/>
        <w:jc w:val="both"/>
        <w:rPr>
          <w:rFonts w:ascii="Times New Roman" w:eastAsia="Times New Roman" w:hAnsi="Times New Roman" w:cs="Times New Roman"/>
          <w:b/>
          <w:sz w:val="26"/>
          <w:szCs w:val="26"/>
        </w:rPr>
      </w:pPr>
    </w:p>
    <w:p w14:paraId="5A3F44B8" w14:textId="77777777" w:rsidR="00A05AD3" w:rsidRDefault="00000000">
      <w:pPr>
        <w:widowControl w:val="0"/>
        <w:tabs>
          <w:tab w:val="left" w:pos="1447"/>
        </w:tabs>
        <w:spacing w:before="1"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3. DAS OBRIGAÇÕES E RESPONSABILIDADES DA CONTRATADA</w:t>
      </w:r>
    </w:p>
    <w:p w14:paraId="483C2E52" w14:textId="77777777" w:rsidR="00A05AD3" w:rsidRDefault="00000000">
      <w:pPr>
        <w:widowControl w:val="0"/>
        <w:tabs>
          <w:tab w:val="left" w:pos="1188"/>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3.1 Cumprir fielmente as exigências deste Termo de Referência, de modo que, no prazo estabelecido, o objeto contratado seja entregue.</w:t>
      </w:r>
    </w:p>
    <w:p w14:paraId="47C9D3B5" w14:textId="77777777" w:rsidR="00A05AD3" w:rsidRDefault="00000000">
      <w:pPr>
        <w:widowControl w:val="0"/>
        <w:tabs>
          <w:tab w:val="left" w:pos="1188"/>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3.2 Entregar os produtos em plenas condições, conforme descrição no item 2 deste Termo de Referência.</w:t>
      </w:r>
    </w:p>
    <w:p w14:paraId="24CBB161" w14:textId="77777777" w:rsidR="00A05AD3" w:rsidRDefault="00000000">
      <w:pPr>
        <w:widowControl w:val="0"/>
        <w:tabs>
          <w:tab w:val="left" w:pos="1188"/>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3.3 Atender prontamente quaisquer exigências da Contratante, inerentes ao objeto deste termo de referência.</w:t>
      </w:r>
    </w:p>
    <w:p w14:paraId="35609BEC" w14:textId="77777777" w:rsidR="00A05AD3" w:rsidRDefault="00000000">
      <w:pPr>
        <w:widowControl w:val="0"/>
        <w:tabs>
          <w:tab w:val="left" w:pos="1188"/>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3.4 Entregar os produtos em até 20 (vinte) dias corridos, a contar do encaminhamento da autorização de fornecimento correspondente. O período poderá ser prorrogado por mais 30 dias mediante autorização da contratante caso seja necessário.</w:t>
      </w:r>
    </w:p>
    <w:p w14:paraId="564A83BA" w14:textId="77777777" w:rsidR="00A05AD3" w:rsidRDefault="00A05AD3">
      <w:pPr>
        <w:widowControl w:val="0"/>
        <w:tabs>
          <w:tab w:val="left" w:pos="1188"/>
        </w:tabs>
        <w:spacing w:after="0" w:line="240" w:lineRule="auto"/>
        <w:jc w:val="both"/>
        <w:rPr>
          <w:rFonts w:ascii="Times New Roman" w:eastAsia="Times New Roman" w:hAnsi="Times New Roman" w:cs="Times New Roman"/>
          <w:sz w:val="26"/>
          <w:szCs w:val="26"/>
        </w:rPr>
      </w:pPr>
    </w:p>
    <w:p w14:paraId="03AC4BFE" w14:textId="77777777" w:rsidR="00A05AD3" w:rsidRDefault="00000000">
      <w:pPr>
        <w:widowControl w:val="0"/>
        <w:tabs>
          <w:tab w:val="left" w:pos="984"/>
        </w:tabs>
        <w:spacing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4</w:t>
      </w: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DAS OBRIGAÇÕES E RESPONSABILIDADES DA CONTRATANTE</w:t>
      </w:r>
    </w:p>
    <w:p w14:paraId="03EC0573" w14:textId="77777777" w:rsidR="00A05AD3" w:rsidRDefault="0000000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4.1. Serão de responsabilidade da Câmara Municipal de Mococa:</w:t>
      </w:r>
    </w:p>
    <w:p w14:paraId="1099CCC5" w14:textId="77777777" w:rsidR="00A05AD3" w:rsidRDefault="00000000">
      <w:pPr>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4.1.1. Acompanhar e fiscalizar, através dos responsáveis pela fiscalização e gestão da contratação, a fiel execução do objeto;</w:t>
      </w:r>
    </w:p>
    <w:p w14:paraId="775159AF" w14:textId="77777777" w:rsidR="00A05AD3" w:rsidRDefault="00000000">
      <w:pPr>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4.1.2. Prover todas as condições necessárias para a entrega do objeto Contratado;</w:t>
      </w:r>
    </w:p>
    <w:p w14:paraId="06EA90A7" w14:textId="77777777" w:rsidR="00A05AD3" w:rsidRDefault="00000000">
      <w:pPr>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4.1.3. Notificar a Contratada, via e-mail e por meio da gestão da contratação, sobre a ocorrência de eventuais falhas no objeto;</w:t>
      </w:r>
    </w:p>
    <w:p w14:paraId="6FBC16BB" w14:textId="77777777" w:rsidR="00A05AD3" w:rsidRDefault="00000000">
      <w:pPr>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4.1.4. Efetuar o pagamento na forma pactuada;</w:t>
      </w:r>
    </w:p>
    <w:p w14:paraId="1DC0E964" w14:textId="77777777" w:rsidR="00A05AD3" w:rsidRDefault="00000000">
      <w:pPr>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4.1.5. Prestar as informações e os esclarecimentos que venham a ser solicitados pela Contratada;</w:t>
      </w:r>
      <w:r>
        <w:rPr>
          <w:rFonts w:ascii="Times New Roman" w:eastAsia="Times New Roman" w:hAnsi="Times New Roman" w:cs="Times New Roman"/>
          <w:sz w:val="26"/>
          <w:szCs w:val="26"/>
        </w:rPr>
        <w:tab/>
      </w:r>
    </w:p>
    <w:p w14:paraId="0CC652B6" w14:textId="77777777" w:rsidR="00A05AD3" w:rsidRDefault="00000000">
      <w:pPr>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4.1.6. Acompanhar e fiscalizar a entrega do material, por meio de servidor (es) da Câmara Municipal de Mococa, especialmente designado (s) pela Administração, nos termos do art. 117 da Lei federal nº 14.133/2021, exigindo seu fiel e total cumprimento</w:t>
      </w:r>
    </w:p>
    <w:p w14:paraId="2F5FB821" w14:textId="77777777" w:rsidR="00A05AD3" w:rsidRDefault="00A05AD3">
      <w:pPr>
        <w:widowControl w:val="0"/>
        <w:tabs>
          <w:tab w:val="left" w:pos="984"/>
        </w:tabs>
        <w:spacing w:after="0" w:line="240" w:lineRule="auto"/>
        <w:jc w:val="both"/>
        <w:rPr>
          <w:rFonts w:ascii="Times New Roman" w:eastAsia="Times New Roman" w:hAnsi="Times New Roman" w:cs="Times New Roman"/>
          <w:sz w:val="26"/>
          <w:szCs w:val="26"/>
        </w:rPr>
      </w:pPr>
    </w:p>
    <w:p w14:paraId="0627A3AE" w14:textId="77777777" w:rsidR="00A05AD3" w:rsidRDefault="00000000">
      <w:pPr>
        <w:widowControl w:val="0"/>
        <w:spacing w:before="9"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5. LOCAIS DE ENTREGA DOS EQUIPAMENTOS E DO RECEBIMENTO DO OBJETO DA LICITAÇÃO: </w:t>
      </w:r>
    </w:p>
    <w:p w14:paraId="39BF0DF2" w14:textId="77777777" w:rsidR="00A05AD3" w:rsidRDefault="0000000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5.1. A autorização de fornecimento será encaminhada ao e-mail indicado pela contratada em sua proposta.</w:t>
      </w:r>
    </w:p>
    <w:p w14:paraId="7186DE8B" w14:textId="77777777" w:rsidR="00A05AD3" w:rsidRDefault="0000000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5.2. A entrega dos itens solicitados, acompanhada da respectiva nota fiscal, deverá ser efetivada no prazo máximo de até 20 (vinte) dias corridos, a contar do encaminhamento da autorização de fornecimento correspondente.</w:t>
      </w:r>
    </w:p>
    <w:p w14:paraId="5E146E55" w14:textId="77777777" w:rsidR="00A05AD3" w:rsidRDefault="0000000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5.3. Toda entrega deverá ser efetuada junto a Câmara Municipal de Mococa, situado à Praça Marechal Deodoro nº 26, Centro, Mococa/SP - CEP: 13.730-047 – Telefone: (19) 3656-0106, com atendimento das 09:00 às 17:00 horas de segunda a sexta-feira, a cargo da contratada, a qual deverá providenciar toda a mão de obra necessária. </w:t>
      </w:r>
    </w:p>
    <w:p w14:paraId="50D9AC30" w14:textId="77777777" w:rsidR="00A05AD3" w:rsidRDefault="0000000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5.4. O recebimento definitivo por parte da Câmara Municipal de Mococa não eximirá a CONTRATADA da responsabilidade por quaisquer vícios de quantidade ou qualidade que venham a se verificar posteriormente, circunstância em que as despesas com correções, trocas ou reposições correrão por conta exclusiva da Contratada.</w:t>
      </w:r>
    </w:p>
    <w:p w14:paraId="49AF8A33" w14:textId="77777777" w:rsidR="00A05AD3" w:rsidRDefault="00A05AD3">
      <w:pPr>
        <w:spacing w:after="0" w:line="240" w:lineRule="auto"/>
        <w:jc w:val="both"/>
        <w:rPr>
          <w:rFonts w:ascii="Times New Roman" w:eastAsia="Times New Roman" w:hAnsi="Times New Roman" w:cs="Times New Roman"/>
          <w:sz w:val="26"/>
          <w:szCs w:val="26"/>
        </w:rPr>
      </w:pPr>
    </w:p>
    <w:p w14:paraId="6E559B6B"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6. ESTIMATIVA DE DESPESA</w:t>
      </w:r>
      <w:r>
        <w:rPr>
          <w:rFonts w:ascii="Times New Roman" w:eastAsia="Times New Roman" w:hAnsi="Times New Roman" w:cs="Times New Roman"/>
          <w:sz w:val="26"/>
          <w:szCs w:val="26"/>
        </w:rPr>
        <w:t xml:space="preserve"> </w:t>
      </w:r>
    </w:p>
    <w:p w14:paraId="6538505B"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Valor estimado da Contratação: </w:t>
      </w:r>
    </w:p>
    <w:p w14:paraId="3C6F8FE5"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40"/>
        <w:jc w:val="both"/>
        <w:rPr>
          <w:rFonts w:ascii="Times New Roman" w:eastAsia="Times New Roman" w:hAnsi="Times New Roman" w:cs="Times New Roman"/>
          <w:sz w:val="26"/>
          <w:szCs w:val="26"/>
        </w:rPr>
      </w:pPr>
      <w:r>
        <w:rPr>
          <w:rFonts w:ascii="Times New Roman" w:eastAsia="Times New Roman" w:hAnsi="Times New Roman" w:cs="Times New Roman"/>
          <w:color w:val="FF0000"/>
          <w:sz w:val="26"/>
          <w:szCs w:val="26"/>
        </w:rPr>
        <w:t xml:space="preserve"> </w:t>
      </w:r>
    </w:p>
    <w:tbl>
      <w:tblPr>
        <w:tblStyle w:val="a6"/>
        <w:tblW w:w="90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40"/>
        <w:gridCol w:w="3000"/>
        <w:gridCol w:w="1605"/>
        <w:gridCol w:w="1530"/>
        <w:gridCol w:w="2040"/>
      </w:tblGrid>
      <w:tr w:rsidR="00A05AD3" w14:paraId="6BEEB0E3" w14:textId="77777777">
        <w:trPr>
          <w:trHeight w:val="926"/>
        </w:trPr>
        <w:tc>
          <w:tcPr>
            <w:tcW w:w="84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1EF0200E" w14:textId="77777777" w:rsidR="00A05AD3" w:rsidRDefault="00000000">
            <w:pPr>
              <w:spacing w:before="240" w:after="240" w:line="240" w:lineRule="auto"/>
              <w:contextualSpacing/>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Lote</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D0A8715" w14:textId="77777777" w:rsidR="00A05AD3" w:rsidRDefault="00000000">
            <w:pPr>
              <w:spacing w:before="240" w:after="240" w:line="240" w:lineRule="auto"/>
              <w:contextualSpacing/>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Descrição e especificações mínimas</w:t>
            </w:r>
          </w:p>
        </w:tc>
        <w:tc>
          <w:tcPr>
            <w:tcW w:w="160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7ED3435" w14:textId="77777777" w:rsidR="00A05AD3" w:rsidRDefault="00000000">
            <w:pPr>
              <w:spacing w:before="240" w:after="240" w:line="240" w:lineRule="auto"/>
              <w:contextualSpacing/>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Quantidade</w:t>
            </w:r>
          </w:p>
        </w:tc>
        <w:tc>
          <w:tcPr>
            <w:tcW w:w="153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1F8873C" w14:textId="77777777" w:rsidR="00A05AD3" w:rsidRDefault="00000000">
            <w:pPr>
              <w:spacing w:before="240" w:after="240" w:line="240" w:lineRule="auto"/>
              <w:contextualSpacing/>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Valor unitário </w:t>
            </w:r>
          </w:p>
        </w:tc>
        <w:tc>
          <w:tcPr>
            <w:tcW w:w="20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668C231" w14:textId="77777777" w:rsidR="00A05AD3" w:rsidRDefault="00000000">
            <w:pPr>
              <w:spacing w:before="240" w:after="240" w:line="240" w:lineRule="auto"/>
              <w:contextualSpacing/>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Valor máximo total</w:t>
            </w:r>
          </w:p>
        </w:tc>
      </w:tr>
      <w:tr w:rsidR="00A05AD3" w14:paraId="7EBAA9B7" w14:textId="77777777">
        <w:trPr>
          <w:trHeight w:val="585"/>
        </w:trPr>
        <w:tc>
          <w:tcPr>
            <w:tcW w:w="8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F04D233" w14:textId="77777777" w:rsidR="00A05AD3" w:rsidRDefault="00000000">
            <w:pPr>
              <w:spacing w:before="240" w:after="240" w:line="240" w:lineRule="auto"/>
              <w:contextualSpacing/>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700D15C" w14:textId="77777777" w:rsidR="00A05AD3" w:rsidRDefault="00000000">
            <w:pPr>
              <w:spacing w:before="240" w:after="240" w:line="240" w:lineRule="auto"/>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Notebook</w:t>
            </w:r>
          </w:p>
        </w:tc>
        <w:tc>
          <w:tcPr>
            <w:tcW w:w="1605" w:type="dxa"/>
            <w:tcBorders>
              <w:top w:val="nil"/>
              <w:left w:val="nil"/>
              <w:bottom w:val="single" w:sz="5" w:space="0" w:color="000000"/>
              <w:right w:val="single" w:sz="5" w:space="0" w:color="000000"/>
            </w:tcBorders>
            <w:tcMar>
              <w:top w:w="0" w:type="dxa"/>
              <w:left w:w="100" w:type="dxa"/>
              <w:bottom w:w="0" w:type="dxa"/>
              <w:right w:w="100" w:type="dxa"/>
            </w:tcMar>
          </w:tcPr>
          <w:p w14:paraId="356C804D" w14:textId="77777777" w:rsidR="00A05AD3" w:rsidRDefault="00000000">
            <w:pPr>
              <w:spacing w:before="240" w:after="240" w:line="240" w:lineRule="auto"/>
              <w:contextualSpacing/>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10</w:t>
            </w:r>
          </w:p>
        </w:tc>
        <w:tc>
          <w:tcPr>
            <w:tcW w:w="1530" w:type="dxa"/>
            <w:tcBorders>
              <w:top w:val="nil"/>
              <w:left w:val="nil"/>
              <w:bottom w:val="single" w:sz="5" w:space="0" w:color="000000"/>
              <w:right w:val="single" w:sz="5" w:space="0" w:color="000000"/>
            </w:tcBorders>
            <w:tcMar>
              <w:top w:w="0" w:type="dxa"/>
              <w:left w:w="100" w:type="dxa"/>
              <w:bottom w:w="0" w:type="dxa"/>
              <w:right w:w="100" w:type="dxa"/>
            </w:tcMar>
          </w:tcPr>
          <w:p w14:paraId="1E82E78F" w14:textId="77777777" w:rsidR="00A05AD3" w:rsidRDefault="00000000">
            <w:pPr>
              <w:spacing w:before="240" w:after="240" w:line="240" w:lineRule="auto"/>
              <w:contextualSpacing/>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R$ 5.815,47</w:t>
            </w:r>
          </w:p>
        </w:tc>
        <w:tc>
          <w:tcPr>
            <w:tcW w:w="2040" w:type="dxa"/>
            <w:tcBorders>
              <w:top w:val="nil"/>
              <w:left w:val="nil"/>
              <w:bottom w:val="single" w:sz="5" w:space="0" w:color="000000"/>
              <w:right w:val="single" w:sz="5" w:space="0" w:color="000000"/>
            </w:tcBorders>
            <w:tcMar>
              <w:top w:w="0" w:type="dxa"/>
              <w:left w:w="100" w:type="dxa"/>
              <w:bottom w:w="0" w:type="dxa"/>
              <w:right w:w="100" w:type="dxa"/>
            </w:tcMar>
          </w:tcPr>
          <w:p w14:paraId="1EFA2DC5" w14:textId="77777777" w:rsidR="00A05AD3" w:rsidRDefault="00000000">
            <w:pPr>
              <w:spacing w:before="240" w:after="240" w:line="240" w:lineRule="auto"/>
              <w:contextualSpacing/>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R$ 58.154,70</w:t>
            </w:r>
          </w:p>
        </w:tc>
      </w:tr>
      <w:tr w:rsidR="00A05AD3" w14:paraId="414A1ADE" w14:textId="77777777">
        <w:trPr>
          <w:trHeight w:val="395"/>
        </w:trPr>
        <w:tc>
          <w:tcPr>
            <w:tcW w:w="840"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A0DD8CD" w14:textId="77777777" w:rsidR="00A05AD3" w:rsidRDefault="00000000">
            <w:pPr>
              <w:spacing w:before="240" w:after="240" w:line="240" w:lineRule="auto"/>
              <w:contextualSpacing/>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2</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0430C1C" w14:textId="77777777" w:rsidR="00A05AD3" w:rsidRDefault="00000000">
            <w:pPr>
              <w:spacing w:before="240" w:after="240" w:line="240" w:lineRule="auto"/>
              <w:contextualSpacing/>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Scanner de mesa</w:t>
            </w:r>
          </w:p>
        </w:tc>
        <w:tc>
          <w:tcPr>
            <w:tcW w:w="1605" w:type="dxa"/>
            <w:tcBorders>
              <w:top w:val="nil"/>
              <w:left w:val="nil"/>
              <w:bottom w:val="single" w:sz="5" w:space="0" w:color="000000"/>
              <w:right w:val="single" w:sz="5" w:space="0" w:color="000000"/>
            </w:tcBorders>
            <w:tcMar>
              <w:top w:w="0" w:type="dxa"/>
              <w:left w:w="100" w:type="dxa"/>
              <w:bottom w:w="0" w:type="dxa"/>
              <w:right w:w="100" w:type="dxa"/>
            </w:tcMar>
          </w:tcPr>
          <w:p w14:paraId="07346DA2" w14:textId="77777777" w:rsidR="00A05AD3" w:rsidRDefault="00000000">
            <w:pPr>
              <w:spacing w:before="240" w:after="240" w:line="240" w:lineRule="auto"/>
              <w:contextualSpacing/>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1530" w:type="dxa"/>
            <w:tcBorders>
              <w:top w:val="nil"/>
              <w:left w:val="nil"/>
              <w:bottom w:val="single" w:sz="5" w:space="0" w:color="000000"/>
              <w:right w:val="single" w:sz="5" w:space="0" w:color="000000"/>
            </w:tcBorders>
            <w:tcMar>
              <w:top w:w="0" w:type="dxa"/>
              <w:left w:w="100" w:type="dxa"/>
              <w:bottom w:w="0" w:type="dxa"/>
              <w:right w:w="100" w:type="dxa"/>
            </w:tcMar>
          </w:tcPr>
          <w:p w14:paraId="015EA311" w14:textId="77777777" w:rsidR="00A05AD3" w:rsidRDefault="00000000">
            <w:pPr>
              <w:spacing w:before="240" w:after="240" w:line="240" w:lineRule="auto"/>
              <w:contextualSpacing/>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R$ 4.327,94</w:t>
            </w:r>
          </w:p>
        </w:tc>
        <w:tc>
          <w:tcPr>
            <w:tcW w:w="2040" w:type="dxa"/>
            <w:tcBorders>
              <w:top w:val="nil"/>
              <w:left w:val="nil"/>
              <w:bottom w:val="single" w:sz="5" w:space="0" w:color="000000"/>
              <w:right w:val="single" w:sz="5" w:space="0" w:color="000000"/>
            </w:tcBorders>
            <w:tcMar>
              <w:top w:w="0" w:type="dxa"/>
              <w:left w:w="100" w:type="dxa"/>
              <w:bottom w:w="0" w:type="dxa"/>
              <w:right w:w="100" w:type="dxa"/>
            </w:tcMar>
          </w:tcPr>
          <w:p w14:paraId="26A27408" w14:textId="77777777" w:rsidR="00A05AD3" w:rsidRDefault="00000000">
            <w:pPr>
              <w:spacing w:before="240" w:after="240" w:line="240" w:lineRule="auto"/>
              <w:contextualSpacing/>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R$ 17.311,76</w:t>
            </w:r>
          </w:p>
        </w:tc>
      </w:tr>
      <w:tr w:rsidR="00A05AD3" w14:paraId="5D3D8040" w14:textId="77777777">
        <w:trPr>
          <w:trHeight w:val="716"/>
        </w:trPr>
        <w:tc>
          <w:tcPr>
            <w:tcW w:w="8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2F59253" w14:textId="77777777" w:rsidR="00A05AD3" w:rsidRDefault="00A05AD3">
            <w:pPr>
              <w:spacing w:after="0" w:line="240" w:lineRule="auto"/>
              <w:contextualSpacing/>
              <w:jc w:val="both"/>
              <w:rPr>
                <w:rFonts w:ascii="Times New Roman" w:eastAsia="Times New Roman" w:hAnsi="Times New Roman" w:cs="Times New Roman"/>
                <w:sz w:val="26"/>
                <w:szCs w:val="26"/>
              </w:rPr>
            </w:pP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1FB49E1" w14:textId="77777777" w:rsidR="00A05AD3" w:rsidRDefault="00000000">
            <w:pPr>
              <w:spacing w:before="240" w:after="240" w:line="240" w:lineRule="auto"/>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Impressora Multifuncional Colorida</w:t>
            </w:r>
          </w:p>
        </w:tc>
        <w:tc>
          <w:tcPr>
            <w:tcW w:w="1605" w:type="dxa"/>
            <w:tcBorders>
              <w:top w:val="nil"/>
              <w:left w:val="nil"/>
              <w:bottom w:val="single" w:sz="5" w:space="0" w:color="000000"/>
              <w:right w:val="single" w:sz="5" w:space="0" w:color="000000"/>
            </w:tcBorders>
            <w:tcMar>
              <w:top w:w="0" w:type="dxa"/>
              <w:left w:w="100" w:type="dxa"/>
              <w:bottom w:w="0" w:type="dxa"/>
              <w:right w:w="100" w:type="dxa"/>
            </w:tcMar>
          </w:tcPr>
          <w:p w14:paraId="104DFA68" w14:textId="77777777" w:rsidR="00A05AD3" w:rsidRDefault="00000000">
            <w:pPr>
              <w:spacing w:before="240" w:after="240" w:line="240" w:lineRule="auto"/>
              <w:contextualSpacing/>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1530" w:type="dxa"/>
            <w:tcBorders>
              <w:top w:val="nil"/>
              <w:left w:val="nil"/>
              <w:bottom w:val="single" w:sz="5" w:space="0" w:color="000000"/>
              <w:right w:val="single" w:sz="5" w:space="0" w:color="000000"/>
            </w:tcBorders>
            <w:tcMar>
              <w:top w:w="0" w:type="dxa"/>
              <w:left w:w="100" w:type="dxa"/>
              <w:bottom w:w="0" w:type="dxa"/>
              <w:right w:w="100" w:type="dxa"/>
            </w:tcMar>
          </w:tcPr>
          <w:p w14:paraId="1A8C2E11" w14:textId="77777777" w:rsidR="00A05AD3" w:rsidRDefault="00000000">
            <w:pPr>
              <w:spacing w:before="240" w:after="240" w:line="240" w:lineRule="auto"/>
              <w:contextualSpacing/>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R$ 5.066,50</w:t>
            </w:r>
          </w:p>
        </w:tc>
        <w:tc>
          <w:tcPr>
            <w:tcW w:w="2040" w:type="dxa"/>
            <w:tcBorders>
              <w:top w:val="nil"/>
              <w:left w:val="nil"/>
              <w:bottom w:val="single" w:sz="5" w:space="0" w:color="000000"/>
              <w:right w:val="single" w:sz="5" w:space="0" w:color="000000"/>
            </w:tcBorders>
            <w:tcMar>
              <w:top w:w="0" w:type="dxa"/>
              <w:left w:w="100" w:type="dxa"/>
              <w:bottom w:w="0" w:type="dxa"/>
              <w:right w:w="100" w:type="dxa"/>
            </w:tcMar>
          </w:tcPr>
          <w:p w14:paraId="0ED00431" w14:textId="77777777" w:rsidR="00A05AD3" w:rsidRDefault="00000000">
            <w:pPr>
              <w:spacing w:before="240" w:after="240" w:line="240" w:lineRule="auto"/>
              <w:contextualSpacing/>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R$ 10.133,00</w:t>
            </w:r>
          </w:p>
        </w:tc>
      </w:tr>
      <w:tr w:rsidR="00A05AD3" w14:paraId="322EE830" w14:textId="77777777">
        <w:trPr>
          <w:trHeight w:val="887"/>
        </w:trPr>
        <w:tc>
          <w:tcPr>
            <w:tcW w:w="8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B6DF6C9" w14:textId="77777777" w:rsidR="00A05AD3" w:rsidRDefault="00A05AD3">
            <w:pPr>
              <w:spacing w:after="0" w:line="240" w:lineRule="auto"/>
              <w:contextualSpacing/>
              <w:jc w:val="both"/>
              <w:rPr>
                <w:rFonts w:ascii="Times New Roman" w:eastAsia="Times New Roman" w:hAnsi="Times New Roman" w:cs="Times New Roman"/>
                <w:sz w:val="26"/>
                <w:szCs w:val="26"/>
              </w:rPr>
            </w:pP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4A14732" w14:textId="77777777" w:rsidR="00A05AD3" w:rsidRDefault="00000000">
            <w:pPr>
              <w:spacing w:before="240" w:after="240" w:line="240" w:lineRule="auto"/>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Impressora Multifuncional monocromática</w:t>
            </w:r>
          </w:p>
        </w:tc>
        <w:tc>
          <w:tcPr>
            <w:tcW w:w="1605" w:type="dxa"/>
            <w:tcBorders>
              <w:top w:val="nil"/>
              <w:left w:val="nil"/>
              <w:bottom w:val="single" w:sz="5" w:space="0" w:color="000000"/>
              <w:right w:val="single" w:sz="5" w:space="0" w:color="000000"/>
            </w:tcBorders>
            <w:tcMar>
              <w:top w:w="0" w:type="dxa"/>
              <w:left w:w="100" w:type="dxa"/>
              <w:bottom w:w="0" w:type="dxa"/>
              <w:right w:w="100" w:type="dxa"/>
            </w:tcMar>
          </w:tcPr>
          <w:p w14:paraId="1A3542A0" w14:textId="77777777" w:rsidR="00A05AD3" w:rsidRDefault="00000000">
            <w:pPr>
              <w:spacing w:before="240" w:after="240" w:line="240" w:lineRule="auto"/>
              <w:contextualSpacing/>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1530" w:type="dxa"/>
            <w:tcBorders>
              <w:top w:val="nil"/>
              <w:left w:val="nil"/>
              <w:bottom w:val="single" w:sz="5" w:space="0" w:color="000000"/>
              <w:right w:val="single" w:sz="5" w:space="0" w:color="000000"/>
            </w:tcBorders>
            <w:tcMar>
              <w:top w:w="0" w:type="dxa"/>
              <w:left w:w="100" w:type="dxa"/>
              <w:bottom w:w="0" w:type="dxa"/>
              <w:right w:w="100" w:type="dxa"/>
            </w:tcMar>
          </w:tcPr>
          <w:p w14:paraId="0849B877" w14:textId="77777777" w:rsidR="00A05AD3" w:rsidRDefault="00000000">
            <w:pPr>
              <w:spacing w:before="240" w:after="240" w:line="240" w:lineRule="auto"/>
              <w:contextualSpacing/>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R$ 4.837,33</w:t>
            </w:r>
          </w:p>
        </w:tc>
        <w:tc>
          <w:tcPr>
            <w:tcW w:w="2040" w:type="dxa"/>
            <w:tcBorders>
              <w:top w:val="nil"/>
              <w:left w:val="nil"/>
              <w:bottom w:val="single" w:sz="5" w:space="0" w:color="000000"/>
              <w:right w:val="single" w:sz="5" w:space="0" w:color="000000"/>
            </w:tcBorders>
            <w:tcMar>
              <w:top w:w="0" w:type="dxa"/>
              <w:left w:w="100" w:type="dxa"/>
              <w:bottom w:w="0" w:type="dxa"/>
              <w:right w:w="100" w:type="dxa"/>
            </w:tcMar>
          </w:tcPr>
          <w:p w14:paraId="0F365386" w14:textId="77777777" w:rsidR="00A05AD3" w:rsidRDefault="00000000">
            <w:pPr>
              <w:spacing w:before="240" w:after="240" w:line="240" w:lineRule="auto"/>
              <w:contextualSpacing/>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R$ 19.349,32</w:t>
            </w:r>
          </w:p>
        </w:tc>
      </w:tr>
      <w:tr w:rsidR="00A05AD3" w14:paraId="1DF714CA" w14:textId="77777777">
        <w:trPr>
          <w:trHeight w:val="915"/>
        </w:trPr>
        <w:tc>
          <w:tcPr>
            <w:tcW w:w="840"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C8E4F3B" w14:textId="77777777" w:rsidR="00A05AD3" w:rsidRDefault="00000000">
            <w:pPr>
              <w:spacing w:before="240" w:after="240" w:line="240" w:lineRule="auto"/>
              <w:contextualSpacing/>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3</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A826374" w14:textId="77777777" w:rsidR="00A05AD3" w:rsidRDefault="00000000">
            <w:pPr>
              <w:spacing w:before="240" w:after="240" w:line="240" w:lineRule="auto"/>
              <w:contextualSpacing/>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Aparelho de </w:t>
            </w:r>
            <w:proofErr w:type="gramStart"/>
            <w:r>
              <w:rPr>
                <w:rFonts w:ascii="Times New Roman" w:eastAsia="Times New Roman" w:hAnsi="Times New Roman" w:cs="Times New Roman"/>
                <w:b/>
                <w:sz w:val="26"/>
                <w:szCs w:val="26"/>
              </w:rPr>
              <w:t>ar condicionado</w:t>
            </w:r>
            <w:proofErr w:type="gramEnd"/>
            <w:r>
              <w:rPr>
                <w:rFonts w:ascii="Times New Roman" w:eastAsia="Times New Roman" w:hAnsi="Times New Roman" w:cs="Times New Roman"/>
                <w:b/>
                <w:sz w:val="26"/>
                <w:szCs w:val="26"/>
              </w:rPr>
              <w:t xml:space="preserve"> 12.000 BTUS</w:t>
            </w:r>
          </w:p>
        </w:tc>
        <w:tc>
          <w:tcPr>
            <w:tcW w:w="1605" w:type="dxa"/>
            <w:tcBorders>
              <w:top w:val="nil"/>
              <w:left w:val="nil"/>
              <w:bottom w:val="single" w:sz="5" w:space="0" w:color="000000"/>
              <w:right w:val="single" w:sz="5" w:space="0" w:color="000000"/>
            </w:tcBorders>
            <w:tcMar>
              <w:top w:w="0" w:type="dxa"/>
              <w:left w:w="100" w:type="dxa"/>
              <w:bottom w:w="0" w:type="dxa"/>
              <w:right w:w="100" w:type="dxa"/>
            </w:tcMar>
          </w:tcPr>
          <w:p w14:paraId="472E0486" w14:textId="77777777" w:rsidR="00A05AD3" w:rsidRDefault="00000000">
            <w:pPr>
              <w:spacing w:before="240" w:after="240" w:line="240" w:lineRule="auto"/>
              <w:contextualSpacing/>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tc>
        <w:tc>
          <w:tcPr>
            <w:tcW w:w="1530" w:type="dxa"/>
            <w:tcBorders>
              <w:top w:val="nil"/>
              <w:left w:val="nil"/>
              <w:bottom w:val="single" w:sz="5" w:space="0" w:color="000000"/>
              <w:right w:val="single" w:sz="5" w:space="0" w:color="000000"/>
            </w:tcBorders>
            <w:tcMar>
              <w:top w:w="0" w:type="dxa"/>
              <w:left w:w="100" w:type="dxa"/>
              <w:bottom w:w="0" w:type="dxa"/>
              <w:right w:w="100" w:type="dxa"/>
            </w:tcMar>
          </w:tcPr>
          <w:p w14:paraId="4B706909" w14:textId="77777777" w:rsidR="00A05AD3" w:rsidRDefault="00000000">
            <w:pPr>
              <w:spacing w:before="240" w:after="240" w:line="240" w:lineRule="auto"/>
              <w:contextualSpacing/>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R$ 2.449,84</w:t>
            </w:r>
          </w:p>
        </w:tc>
        <w:tc>
          <w:tcPr>
            <w:tcW w:w="2040" w:type="dxa"/>
            <w:tcBorders>
              <w:top w:val="nil"/>
              <w:left w:val="nil"/>
              <w:bottom w:val="single" w:sz="5" w:space="0" w:color="000000"/>
              <w:right w:val="single" w:sz="5" w:space="0" w:color="000000"/>
            </w:tcBorders>
            <w:tcMar>
              <w:top w:w="0" w:type="dxa"/>
              <w:left w:w="100" w:type="dxa"/>
              <w:bottom w:w="0" w:type="dxa"/>
              <w:right w:w="100" w:type="dxa"/>
            </w:tcMar>
          </w:tcPr>
          <w:p w14:paraId="327A6EBD" w14:textId="77777777" w:rsidR="00A05AD3" w:rsidRDefault="00000000">
            <w:pPr>
              <w:spacing w:before="240" w:after="240" w:line="240" w:lineRule="auto"/>
              <w:contextualSpacing/>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R$ 12.249,20</w:t>
            </w:r>
          </w:p>
        </w:tc>
      </w:tr>
      <w:tr w:rsidR="00A05AD3" w14:paraId="55A80A7B" w14:textId="77777777">
        <w:trPr>
          <w:trHeight w:val="735"/>
        </w:trPr>
        <w:tc>
          <w:tcPr>
            <w:tcW w:w="8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AE551D7" w14:textId="77777777" w:rsidR="00A05AD3" w:rsidRDefault="00A05AD3">
            <w:pPr>
              <w:spacing w:after="0" w:line="240" w:lineRule="auto"/>
              <w:contextualSpacing/>
              <w:jc w:val="both"/>
              <w:rPr>
                <w:rFonts w:ascii="Times New Roman" w:eastAsia="Times New Roman" w:hAnsi="Times New Roman" w:cs="Times New Roman"/>
                <w:sz w:val="26"/>
                <w:szCs w:val="26"/>
              </w:rPr>
            </w:pP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A817162" w14:textId="77777777" w:rsidR="00A05AD3" w:rsidRDefault="00000000">
            <w:pPr>
              <w:spacing w:before="240" w:after="240" w:line="240" w:lineRule="auto"/>
              <w:contextualSpacing/>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Aparelho de </w:t>
            </w:r>
            <w:proofErr w:type="gramStart"/>
            <w:r>
              <w:rPr>
                <w:rFonts w:ascii="Times New Roman" w:eastAsia="Times New Roman" w:hAnsi="Times New Roman" w:cs="Times New Roman"/>
                <w:b/>
                <w:sz w:val="26"/>
                <w:szCs w:val="26"/>
              </w:rPr>
              <w:t>ar condicionado</w:t>
            </w:r>
            <w:proofErr w:type="gramEnd"/>
            <w:r>
              <w:rPr>
                <w:rFonts w:ascii="Times New Roman" w:eastAsia="Times New Roman" w:hAnsi="Times New Roman" w:cs="Times New Roman"/>
                <w:b/>
                <w:sz w:val="26"/>
                <w:szCs w:val="26"/>
              </w:rPr>
              <w:t xml:space="preserve"> 18.000 BTUS </w:t>
            </w: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 xml:space="preserve"> </w:t>
            </w:r>
          </w:p>
        </w:tc>
        <w:tc>
          <w:tcPr>
            <w:tcW w:w="1605" w:type="dxa"/>
            <w:tcBorders>
              <w:top w:val="nil"/>
              <w:left w:val="nil"/>
              <w:bottom w:val="single" w:sz="5" w:space="0" w:color="000000"/>
              <w:right w:val="single" w:sz="5" w:space="0" w:color="000000"/>
            </w:tcBorders>
            <w:tcMar>
              <w:top w:w="0" w:type="dxa"/>
              <w:left w:w="100" w:type="dxa"/>
              <w:bottom w:w="0" w:type="dxa"/>
              <w:right w:w="100" w:type="dxa"/>
            </w:tcMar>
          </w:tcPr>
          <w:p w14:paraId="12E792FF" w14:textId="77777777" w:rsidR="00A05AD3" w:rsidRDefault="00000000">
            <w:pPr>
              <w:spacing w:before="240" w:after="240" w:line="240" w:lineRule="auto"/>
              <w:contextualSpacing/>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530" w:type="dxa"/>
            <w:tcBorders>
              <w:top w:val="nil"/>
              <w:left w:val="nil"/>
              <w:bottom w:val="single" w:sz="5" w:space="0" w:color="000000"/>
              <w:right w:val="single" w:sz="5" w:space="0" w:color="000000"/>
            </w:tcBorders>
            <w:tcMar>
              <w:top w:w="0" w:type="dxa"/>
              <w:left w:w="100" w:type="dxa"/>
              <w:bottom w:w="0" w:type="dxa"/>
              <w:right w:w="100" w:type="dxa"/>
            </w:tcMar>
          </w:tcPr>
          <w:p w14:paraId="58FF04AC" w14:textId="77777777" w:rsidR="00A05AD3" w:rsidRDefault="00000000">
            <w:pPr>
              <w:spacing w:before="240" w:after="240" w:line="240" w:lineRule="auto"/>
              <w:contextualSpacing/>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R$ 3.456,17</w:t>
            </w:r>
          </w:p>
        </w:tc>
        <w:tc>
          <w:tcPr>
            <w:tcW w:w="2040" w:type="dxa"/>
            <w:tcBorders>
              <w:top w:val="nil"/>
              <w:left w:val="nil"/>
              <w:bottom w:val="single" w:sz="5" w:space="0" w:color="000000"/>
              <w:right w:val="single" w:sz="5" w:space="0" w:color="000000"/>
            </w:tcBorders>
            <w:tcMar>
              <w:top w:w="0" w:type="dxa"/>
              <w:left w:w="100" w:type="dxa"/>
              <w:bottom w:w="0" w:type="dxa"/>
              <w:right w:w="100" w:type="dxa"/>
            </w:tcMar>
          </w:tcPr>
          <w:p w14:paraId="4A6311A0" w14:textId="77777777" w:rsidR="00A05AD3" w:rsidRDefault="00000000">
            <w:pPr>
              <w:spacing w:before="240" w:after="240" w:line="240" w:lineRule="auto"/>
              <w:contextualSpacing/>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R$ 3.456,17</w:t>
            </w:r>
          </w:p>
        </w:tc>
      </w:tr>
      <w:tr w:rsidR="00A05AD3" w14:paraId="45A7022D" w14:textId="77777777" w:rsidTr="00F048FE">
        <w:trPr>
          <w:trHeight w:val="243"/>
        </w:trPr>
        <w:tc>
          <w:tcPr>
            <w:tcW w:w="6975" w:type="dxa"/>
            <w:gridSpan w:val="4"/>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AA6E4FB" w14:textId="77777777" w:rsidR="00A05AD3" w:rsidRDefault="00000000">
            <w:pPr>
              <w:spacing w:before="240" w:after="240" w:line="240" w:lineRule="auto"/>
              <w:contextualSpacing/>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VALOR TOTAL MÁXIMO</w:t>
            </w:r>
          </w:p>
        </w:tc>
        <w:tc>
          <w:tcPr>
            <w:tcW w:w="20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FAB31EC" w14:textId="77777777" w:rsidR="00A05AD3" w:rsidRDefault="00000000">
            <w:pPr>
              <w:spacing w:before="240" w:after="240" w:line="240" w:lineRule="auto"/>
              <w:contextualSpacing/>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R$ 120.654,15</w:t>
            </w:r>
          </w:p>
        </w:tc>
      </w:tr>
    </w:tbl>
    <w:p w14:paraId="0C07EAEE" w14:textId="77777777" w:rsidR="00F048FE" w:rsidRDefault="00F048FE">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b/>
          <w:sz w:val="26"/>
          <w:szCs w:val="26"/>
        </w:rPr>
      </w:pPr>
    </w:p>
    <w:p w14:paraId="54376ECA" w14:textId="1AF6E04F"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7.  DOS RECURSOS ORÇAMENTÁRIOS:</w:t>
      </w:r>
      <w:r>
        <w:rPr>
          <w:rFonts w:ascii="Times New Roman" w:eastAsia="Times New Roman" w:hAnsi="Times New Roman" w:cs="Times New Roman"/>
          <w:sz w:val="26"/>
          <w:szCs w:val="26"/>
        </w:rPr>
        <w:t xml:space="preserve">  </w:t>
      </w:r>
    </w:p>
    <w:p w14:paraId="6DA223FB"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Estimativa de recursos orçamentários e financeiros para cobrir as despesas decorrentes da contratação, que deverá onerar a seguinte dotação orçamentária: </w:t>
      </w:r>
    </w:p>
    <w:p w14:paraId="004B43E8"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6278C829"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Natureza da Despesa:</w:t>
      </w:r>
    </w:p>
    <w:p w14:paraId="4EA3C588"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4.4.90.52 - Equipamentos e material permanente</w:t>
      </w:r>
    </w:p>
    <w:p w14:paraId="7BDDC533" w14:textId="77777777" w:rsidR="00A05AD3" w:rsidRDefault="00A05AD3">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color w:val="FF0000"/>
          <w:sz w:val="26"/>
          <w:szCs w:val="26"/>
        </w:rPr>
      </w:pPr>
    </w:p>
    <w:p w14:paraId="05E32AB8"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8. DA HABILITAÇÃO:</w:t>
      </w:r>
      <w:r>
        <w:rPr>
          <w:rFonts w:ascii="Times New Roman" w:eastAsia="Times New Roman" w:hAnsi="Times New Roman" w:cs="Times New Roman"/>
          <w:sz w:val="26"/>
          <w:szCs w:val="26"/>
        </w:rPr>
        <w:t xml:space="preserve"> </w:t>
      </w:r>
    </w:p>
    <w:p w14:paraId="76EA8B9D"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8.1 DA APRESENTAÇÃO DOS DOCUMENTOS PARA HABILITAÇÃO</w:t>
      </w:r>
      <w:r>
        <w:rPr>
          <w:rFonts w:ascii="Times New Roman" w:eastAsia="Times New Roman" w:hAnsi="Times New Roman" w:cs="Times New Roman"/>
          <w:sz w:val="26"/>
          <w:szCs w:val="26"/>
        </w:rPr>
        <w:t xml:space="preserve"> </w:t>
      </w:r>
    </w:p>
    <w:p w14:paraId="1EFAFDC6"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Os documentos necessários para habilitação deverão ser apresentados em original, por qualquer processo de cópia reprográfica autenticada, de forma individual, ou publicação em órgão da imprensa oficial, apresentados em formato digital escaneado. </w:t>
      </w:r>
    </w:p>
    <w:p w14:paraId="1DE65299"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Para efeitos da comprovação de habilitação, deverão ser enviados, até a data e o horário estabelecido para o fim do recebimento de propostas, os documentos a seguir relacionados nos subitens. </w:t>
      </w:r>
    </w:p>
    <w:p w14:paraId="27FB7DDE"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76186FA8"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8.2 Habilitação Jurídica</w:t>
      </w:r>
      <w:r>
        <w:rPr>
          <w:rFonts w:ascii="Times New Roman" w:eastAsia="Times New Roman" w:hAnsi="Times New Roman" w:cs="Times New Roman"/>
          <w:sz w:val="26"/>
          <w:szCs w:val="26"/>
        </w:rPr>
        <w:t xml:space="preserve"> </w:t>
      </w:r>
    </w:p>
    <w:p w14:paraId="22808136" w14:textId="77777777" w:rsidR="00A05AD3" w:rsidRDefault="00000000">
      <w:pPr>
        <w:numPr>
          <w:ilvl w:val="0"/>
          <w:numId w:val="18"/>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08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registro comercial, no caso de empresa individual; </w:t>
      </w:r>
    </w:p>
    <w:p w14:paraId="36E9ADCA" w14:textId="77777777" w:rsidR="00A05AD3" w:rsidRDefault="00000000">
      <w:pPr>
        <w:numPr>
          <w:ilvl w:val="0"/>
          <w:numId w:val="15"/>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08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ato constitutivo, estatuto ou contrato social em vigor, devidamente registrado em se tratando de sociedade comercial, e no caso de sociedade por ações, acompanhado de documento de eleição de seus administradores; </w:t>
      </w:r>
    </w:p>
    <w:p w14:paraId="3DBCE890" w14:textId="77777777" w:rsidR="00A05AD3" w:rsidRDefault="00000000">
      <w:pPr>
        <w:numPr>
          <w:ilvl w:val="0"/>
          <w:numId w:val="15"/>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08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inscrição do ato constitutivo, no caso de sociedades civis, acompanhada de prova de diretoria em exercício; </w:t>
      </w:r>
    </w:p>
    <w:p w14:paraId="1332AF69" w14:textId="77777777" w:rsidR="00A05AD3" w:rsidRDefault="00000000">
      <w:pPr>
        <w:numPr>
          <w:ilvl w:val="0"/>
          <w:numId w:val="15"/>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08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decreto de autorização em se tratando de empresa ou sociedade estrangeira em funcionamento no País, e ato de registro ou autorização para funcionamento expedido por órgão competente quando a atividade assim o exigir e/ou outro instrumento de registro comercial, registrado na Junta Comercial; </w:t>
      </w:r>
    </w:p>
    <w:p w14:paraId="1A80137B" w14:textId="77777777" w:rsidR="00A05AD3" w:rsidRDefault="00000000">
      <w:pPr>
        <w:numPr>
          <w:ilvl w:val="0"/>
          <w:numId w:val="15"/>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08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no caso de empresário individual: inscrição no Registro Público de Empresas Mercantis, a cargo da Junta Comercial da respectiva sede; </w:t>
      </w:r>
    </w:p>
    <w:p w14:paraId="3E782256" w14:textId="77777777" w:rsidR="00A05AD3" w:rsidRDefault="00000000">
      <w:pPr>
        <w:numPr>
          <w:ilvl w:val="0"/>
          <w:numId w:val="15"/>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08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no caso de microempreendedor individual – MEI: Certificado da Condição de Microempreendedor Individual </w:t>
      </w:r>
    </w:p>
    <w:p w14:paraId="21CA101D"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CCMEI; </w:t>
      </w:r>
    </w:p>
    <w:p w14:paraId="5FD8FE54" w14:textId="77777777" w:rsidR="00A05AD3" w:rsidRDefault="00000000">
      <w:pPr>
        <w:numPr>
          <w:ilvl w:val="0"/>
          <w:numId w:val="3"/>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08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p w14:paraId="22A1B588"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8.2.1.</w:t>
      </w:r>
      <w:r>
        <w:rPr>
          <w:rFonts w:ascii="Times New Roman" w:eastAsia="Times New Roman" w:hAnsi="Times New Roman" w:cs="Times New Roman"/>
          <w:sz w:val="26"/>
          <w:szCs w:val="26"/>
        </w:rPr>
        <w:t xml:space="preserve"> Os documentos apresentados deverão estar acompanhados de todas as alterações ou da consolidação respectiva.</w:t>
      </w:r>
    </w:p>
    <w:p w14:paraId="024C5C88" w14:textId="77777777" w:rsidR="00A05AD3" w:rsidRDefault="00A05AD3">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p>
    <w:p w14:paraId="46867126"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8.3 Regularidade Fiscal e Trabalhista</w:t>
      </w:r>
      <w:r>
        <w:rPr>
          <w:rFonts w:ascii="Times New Roman" w:eastAsia="Times New Roman" w:hAnsi="Times New Roman" w:cs="Times New Roman"/>
          <w:sz w:val="26"/>
          <w:szCs w:val="26"/>
        </w:rPr>
        <w:t xml:space="preserve"> </w:t>
      </w:r>
    </w:p>
    <w:p w14:paraId="2EAF8AF0" w14:textId="77777777" w:rsidR="00A05AD3" w:rsidRDefault="00000000">
      <w:pPr>
        <w:numPr>
          <w:ilvl w:val="0"/>
          <w:numId w:val="5"/>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08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Prova de inscrição no Cadastro Nacional de Pessoas Jurídicas (CNPJ); </w:t>
      </w:r>
    </w:p>
    <w:p w14:paraId="1F71D249" w14:textId="77777777" w:rsidR="00A05AD3" w:rsidRDefault="00000000">
      <w:pPr>
        <w:numPr>
          <w:ilvl w:val="0"/>
          <w:numId w:val="5"/>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08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Certidão Negativa ou Positiva com efeito de Negativa de Tributos Municipais da sede do Licitante. Caso a sede do Licitante seja fora deste Município e mantenha filial (</w:t>
      </w:r>
      <w:proofErr w:type="spellStart"/>
      <w:r>
        <w:rPr>
          <w:rFonts w:ascii="Times New Roman" w:eastAsia="Times New Roman" w:hAnsi="Times New Roman" w:cs="Times New Roman"/>
          <w:sz w:val="26"/>
          <w:szCs w:val="26"/>
        </w:rPr>
        <w:t>is</w:t>
      </w:r>
      <w:proofErr w:type="spellEnd"/>
      <w:r>
        <w:rPr>
          <w:rFonts w:ascii="Times New Roman" w:eastAsia="Times New Roman" w:hAnsi="Times New Roman" w:cs="Times New Roman"/>
          <w:sz w:val="26"/>
          <w:szCs w:val="26"/>
        </w:rPr>
        <w:t xml:space="preserve">) em Mococa, apresentar também desta (s); </w:t>
      </w:r>
    </w:p>
    <w:p w14:paraId="6C9CFDBA" w14:textId="77777777" w:rsidR="00A05AD3" w:rsidRDefault="00000000">
      <w:pPr>
        <w:numPr>
          <w:ilvl w:val="0"/>
          <w:numId w:val="5"/>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08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Certidão Negativa ou Positiva com efeito de Negativa de Débitos de Tributos e Contribuições Federais e quanto a Dívida Ativa da União, abrangendo inclusive as Contribuições Sociais (INSS) previstas nas alíneas “a” a “d” do parágrafo único do artigo 11 da Lei nº 8.212, de 24 de julho de 1991 ou Certidão Previdenciária; </w:t>
      </w:r>
    </w:p>
    <w:p w14:paraId="5DBEC626" w14:textId="77777777" w:rsidR="00A05AD3" w:rsidRDefault="00000000">
      <w:pPr>
        <w:numPr>
          <w:ilvl w:val="0"/>
          <w:numId w:val="5"/>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08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Prova de regularidade para com o Fundo de Garantia por Tempo de Serviço (FGTS); </w:t>
      </w:r>
    </w:p>
    <w:p w14:paraId="7AC48A20" w14:textId="77777777" w:rsidR="00A05AD3" w:rsidRDefault="00000000">
      <w:pPr>
        <w:numPr>
          <w:ilvl w:val="0"/>
          <w:numId w:val="5"/>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08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Certidão Negativa ou Positiva com efeito de Negativa de Débitos Trabalhistas (CNDT) perante a Justiça do Trabalho (Lei Federal 12.440/2011 e artigo 642-A da CLT). </w:t>
      </w:r>
    </w:p>
    <w:p w14:paraId="60F3E429" w14:textId="77777777" w:rsidR="00A05AD3" w:rsidRDefault="00000000">
      <w:pPr>
        <w:numPr>
          <w:ilvl w:val="0"/>
          <w:numId w:val="5"/>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08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Prova de regularidade para com a Fazenda Estadual, relativa ao ICM/ICMS; </w:t>
      </w:r>
    </w:p>
    <w:p w14:paraId="0784E086" w14:textId="77777777" w:rsidR="00A05AD3" w:rsidRDefault="00000000">
      <w:pPr>
        <w:numPr>
          <w:ilvl w:val="0"/>
          <w:numId w:val="5"/>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08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Regularidade Fiscal e trabalhista para Micro e Empresas de Pequeno Porte </w:t>
      </w:r>
    </w:p>
    <w:p w14:paraId="0FA6302D" w14:textId="77777777" w:rsidR="00A05AD3" w:rsidRDefault="00000000">
      <w:pPr>
        <w:numPr>
          <w:ilvl w:val="0"/>
          <w:numId w:val="5"/>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08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para a habilitação, as microempresas e empresas de pequeno porte deverão apresentar a documentação completa e exigida para fins de comprovação de regularidade fiscal e trabalhista, mesmo que esta apresente alguma restrição; </w:t>
      </w:r>
    </w:p>
    <w:p w14:paraId="7592EA5D" w14:textId="77777777" w:rsidR="00A05AD3" w:rsidRDefault="00000000">
      <w:pPr>
        <w:numPr>
          <w:ilvl w:val="0"/>
          <w:numId w:val="5"/>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08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comprovação de regularidade fiscal e trabalhista das microempresas e empresas de pequeno porte somente será exigida para efeito de assinatura do instrumento contratual ou outro instrumento que o substitua.</w:t>
      </w:r>
    </w:p>
    <w:p w14:paraId="2035DE95" w14:textId="77777777" w:rsidR="00A05AD3" w:rsidRDefault="00000000">
      <w:pPr>
        <w:numPr>
          <w:ilvl w:val="0"/>
          <w:numId w:val="5"/>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08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Para que a Microempresa e a Empresa de Pequeno Porte tenham tratamento diferenciado previsto na Lei Complementar nº 123/2006. </w:t>
      </w:r>
    </w:p>
    <w:p w14:paraId="4DA8CA14" w14:textId="77777777" w:rsidR="00A05AD3" w:rsidRDefault="00000000">
      <w:pPr>
        <w:numPr>
          <w:ilvl w:val="0"/>
          <w:numId w:val="5"/>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08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Quando optante pelo SIMPLES Nacional deverá apresentar: Comprovante da opção pelo SIMPLES obtido no site da Secretaria da Receita Federal; </w:t>
      </w:r>
    </w:p>
    <w:p w14:paraId="5F5D33D6" w14:textId="77777777" w:rsidR="00A05AD3" w:rsidRDefault="00000000">
      <w:pPr>
        <w:numPr>
          <w:ilvl w:val="0"/>
          <w:numId w:val="11"/>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08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quando não optante pelo SIMPLES Nacional deverá apresentar: Declaração de que se enquadra na situação de microempresa ou empresa de pequeno porte, nos termos da Lei Complementar nº 123/06, sob as penas do artigo 299 do Código Penal, que deverá ser assinada por seu representante legal, conforme ANEXO V deste Edital; </w:t>
      </w:r>
    </w:p>
    <w:p w14:paraId="159A7907" w14:textId="77777777" w:rsidR="00A05AD3" w:rsidRDefault="00000000">
      <w:pPr>
        <w:numPr>
          <w:ilvl w:val="0"/>
          <w:numId w:val="11"/>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08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Declaração firmada pelo representante legal da empresa, de não haver nenhum dos impedimentos previstos nos incisos do § 4º do artigo 3º da Lei Complementar 123/2006, conforme ANEXO V deste Edital. </w:t>
      </w:r>
      <w:r>
        <w:rPr>
          <w:rFonts w:ascii="Times New Roman" w:eastAsia="Times New Roman" w:hAnsi="Times New Roman" w:cs="Times New Roman"/>
          <w:sz w:val="26"/>
          <w:szCs w:val="26"/>
        </w:rPr>
        <w:br/>
      </w:r>
    </w:p>
    <w:p w14:paraId="015A1883" w14:textId="77777777" w:rsidR="00F048FE"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8.4 Qualificação econômica e financeira</w:t>
      </w:r>
    </w:p>
    <w:p w14:paraId="6221C4AD" w14:textId="0741C61E"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 xml:space="preserve">8.4.1 Certidão negativa de falência, concordata, recuperação judicial e extrajudicial expedida pelo distribuidor da sede da pessoa jurídica. </w:t>
      </w:r>
    </w:p>
    <w:p w14:paraId="44831776" w14:textId="77777777" w:rsidR="00A05AD3" w:rsidRDefault="00000000">
      <w:pPr>
        <w:widowControl w:val="0"/>
        <w:spacing w:before="126"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8.4.2 Nos casos de certidão positiva de recuperação judicial ou extrajudicial, deve o licitante apresentar o comprovante da homologação/deferimento pelo juízo competente do plano de recuperação extrajudicial/judicial em vigor.</w:t>
      </w:r>
    </w:p>
    <w:p w14:paraId="7427D1F2"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br/>
      </w:r>
      <w:r>
        <w:rPr>
          <w:rFonts w:ascii="Times New Roman" w:eastAsia="Times New Roman" w:hAnsi="Times New Roman" w:cs="Times New Roman"/>
          <w:b/>
          <w:sz w:val="26"/>
          <w:szCs w:val="26"/>
        </w:rPr>
        <w:t>8.5</w:t>
      </w: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QUALIFICAÇÃO TÉCNICA</w:t>
      </w:r>
    </w:p>
    <w:p w14:paraId="36AE2714" w14:textId="77777777" w:rsidR="00A05AD3" w:rsidRDefault="00000000">
      <w:pPr>
        <w:widowControl w:val="0"/>
        <w:spacing w:before="126"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 xml:space="preserve">8.5.1 O licitante deverá apresentar atestado de capacidade técnica, em original ou cópia autenticada, emitido por entidade de direito público ou privado, em nome do licitante, que ateste que a empresa já forneceu o objeto licitado e executou de forma pertinente e compatível em características, quantidades e prazos com o objeto desta licitação. </w:t>
      </w:r>
    </w:p>
    <w:p w14:paraId="521DEEF9" w14:textId="77777777" w:rsidR="00A05AD3" w:rsidRDefault="00000000">
      <w:pPr>
        <w:widowControl w:val="0"/>
        <w:spacing w:before="126"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8.5.2 O atestado deverá vir em papel timbrado da pessoa jurídica emitente e com os seguintes dados mínimos desta: CNPJ, razão social, telefone para contato e endereço. </w:t>
      </w:r>
    </w:p>
    <w:p w14:paraId="6165B5F3" w14:textId="77777777" w:rsidR="00A05AD3" w:rsidRDefault="00000000">
      <w:pPr>
        <w:widowControl w:val="0"/>
        <w:spacing w:before="126"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8.5.3 Os períodos concomitantes serão computados uma única vez. </w:t>
      </w:r>
    </w:p>
    <w:p w14:paraId="16020FE9" w14:textId="77777777" w:rsidR="00A05AD3" w:rsidRDefault="00000000">
      <w:pPr>
        <w:widowControl w:val="0"/>
        <w:spacing w:before="126"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8.5.4 Os licitantes deverão disponibilizar, quando solicitados, todas as informações necessárias à comprovação da legitimidade dos atestados de capacidade </w:t>
      </w:r>
      <w:r>
        <w:rPr>
          <w:rFonts w:ascii="Times New Roman" w:eastAsia="Times New Roman" w:hAnsi="Times New Roman" w:cs="Times New Roman"/>
          <w:sz w:val="26"/>
          <w:szCs w:val="26"/>
        </w:rPr>
        <w:lastRenderedPageBreak/>
        <w:t>técnica, apresentando documentos, como, por exemplo, cópia do contrato que deu suporte à contratação.</w:t>
      </w:r>
    </w:p>
    <w:p w14:paraId="68290EF2" w14:textId="77777777" w:rsidR="00A05AD3" w:rsidRDefault="00A05AD3">
      <w:pPr>
        <w:widowControl w:val="0"/>
        <w:spacing w:before="126" w:after="0" w:line="240" w:lineRule="auto"/>
        <w:ind w:firstLine="720"/>
        <w:jc w:val="both"/>
        <w:rPr>
          <w:rFonts w:ascii="Times New Roman" w:eastAsia="Times New Roman" w:hAnsi="Times New Roman" w:cs="Times New Roman"/>
          <w:sz w:val="26"/>
          <w:szCs w:val="26"/>
        </w:rPr>
      </w:pPr>
    </w:p>
    <w:p w14:paraId="0A2F47B0"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8.6</w:t>
      </w: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OUTRAS COMPROVAÇÕES</w:t>
      </w:r>
    </w:p>
    <w:p w14:paraId="52DDE262"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8.6.1 Declaração da licitante, elaborada em papel timbrado e subscrita por seu representante legal, conforme modelo proposto no Anexo III deste Edital, de que está ciente dos termos deste edital e de que cumpre seus requisitos;</w:t>
      </w:r>
    </w:p>
    <w:p w14:paraId="2542B354"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8.6.2 Para o caso das empresas em recuperação judicial: no momento da assinatura do contrato deverá apresentar cópia do ato de nomeação do administrador judicial, ou, se o administrador for pessoa jurídica, o nome do profissional responsável pela condução do processo e, ainda, declaração, relatório ou documento equivalente do juízo ou do administrador de que o plano de recuperação judicial está sendo cumprido;</w:t>
      </w:r>
    </w:p>
    <w:p w14:paraId="0AE65C4F"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8.6.3 Para o caso de empresas em recuperação extrajudicial: no momento da assinatura do contrato deverá apresentar comprovação documental de que as obrigações do plano de recuperação extrajudicial estão sendo cumpridas;</w:t>
      </w:r>
    </w:p>
    <w:p w14:paraId="426FFE6B"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8.6.4 Para Microempresas e Empresas de Pequeno Porte: declaração de que não possui qualquer dos impedimentos previstos nos §§4º e seguintes, todos do artigo 3º da Lei Complementar nº 123, de 14 de dezembro de 2006, e alterações, cujos termos declara conhecer na íntegra.</w:t>
      </w:r>
    </w:p>
    <w:p w14:paraId="5D801FCB"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17508F2E" w14:textId="77777777" w:rsidR="00A05AD3" w:rsidRDefault="00000000">
      <w:pPr>
        <w:spacing w:before="240" w:after="240" w:line="240" w:lineRule="auto"/>
        <w:ind w:right="34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9. FORMA DE PAGAMENTO </w:t>
      </w:r>
    </w:p>
    <w:p w14:paraId="1B0E03BA" w14:textId="77777777" w:rsidR="00F048FE" w:rsidRDefault="00000000">
      <w:pPr>
        <w:spacing w:before="200" w:after="24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9.1 Os pagamentos serão realizados mediante transferência bancária (PIX) em nome da CONTRATADA ou boleto bancário com data de vencimento de, no mínimo, 10 (dez) dias úteis a partir da emissão da nota fiscal.</w:t>
      </w:r>
    </w:p>
    <w:p w14:paraId="0891A8C9" w14:textId="3C3D69BB" w:rsidR="00A05AD3" w:rsidRDefault="00000000">
      <w:pPr>
        <w:spacing w:before="200" w:after="24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9.2 O pagamento será feito após a apresentação de Nota Fiscal discriminada de acordo com a Nota de Empenho. </w:t>
      </w:r>
    </w:p>
    <w:p w14:paraId="5704EF06" w14:textId="77777777" w:rsidR="00A05AD3" w:rsidRDefault="00A05AD3">
      <w:pPr>
        <w:spacing w:before="200" w:after="240" w:line="240" w:lineRule="auto"/>
        <w:jc w:val="both"/>
        <w:rPr>
          <w:rFonts w:ascii="Times New Roman" w:eastAsia="Times New Roman" w:hAnsi="Times New Roman" w:cs="Times New Roman"/>
          <w:sz w:val="26"/>
          <w:szCs w:val="26"/>
        </w:rPr>
      </w:pPr>
    </w:p>
    <w:p w14:paraId="7352A85F" w14:textId="77777777" w:rsidR="00A05AD3" w:rsidRDefault="00A05AD3">
      <w:pPr>
        <w:spacing w:before="200" w:after="240" w:line="240" w:lineRule="auto"/>
        <w:jc w:val="both"/>
        <w:rPr>
          <w:rFonts w:ascii="Times New Roman" w:eastAsia="Times New Roman" w:hAnsi="Times New Roman" w:cs="Times New Roman"/>
          <w:sz w:val="26"/>
          <w:szCs w:val="26"/>
        </w:rPr>
      </w:pPr>
    </w:p>
    <w:p w14:paraId="451233A1" w14:textId="77777777" w:rsidR="00A05AD3" w:rsidRDefault="00A05AD3">
      <w:pPr>
        <w:spacing w:before="200" w:after="240" w:line="240" w:lineRule="auto"/>
        <w:jc w:val="both"/>
        <w:rPr>
          <w:rFonts w:ascii="Times New Roman" w:eastAsia="Times New Roman" w:hAnsi="Times New Roman" w:cs="Times New Roman"/>
          <w:sz w:val="26"/>
          <w:szCs w:val="26"/>
        </w:rPr>
      </w:pPr>
    </w:p>
    <w:p w14:paraId="66538FB6" w14:textId="77777777" w:rsidR="00A05AD3" w:rsidRDefault="00A05AD3">
      <w:pPr>
        <w:spacing w:before="200" w:after="240" w:line="240" w:lineRule="auto"/>
        <w:jc w:val="both"/>
        <w:rPr>
          <w:rFonts w:ascii="Times New Roman" w:eastAsia="Times New Roman" w:hAnsi="Times New Roman" w:cs="Times New Roman"/>
          <w:sz w:val="26"/>
          <w:szCs w:val="26"/>
        </w:rPr>
      </w:pPr>
    </w:p>
    <w:p w14:paraId="2EBD2C5C" w14:textId="77777777" w:rsidR="00A05AD3" w:rsidRDefault="00A05AD3">
      <w:pPr>
        <w:spacing w:before="200" w:after="240" w:line="240" w:lineRule="auto"/>
        <w:jc w:val="both"/>
        <w:rPr>
          <w:rFonts w:ascii="Times New Roman" w:eastAsia="Times New Roman" w:hAnsi="Times New Roman" w:cs="Times New Roman"/>
          <w:sz w:val="26"/>
          <w:szCs w:val="26"/>
        </w:rPr>
      </w:pPr>
    </w:p>
    <w:p w14:paraId="57A5ABAF"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ANEXO II</w:t>
      </w:r>
    </w:p>
    <w:p w14:paraId="09B84167" w14:textId="77777777" w:rsidR="00A05AD3" w:rsidRDefault="00A05AD3">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center"/>
        <w:rPr>
          <w:rFonts w:ascii="Times New Roman" w:eastAsia="Times New Roman" w:hAnsi="Times New Roman" w:cs="Times New Roman"/>
          <w:b/>
          <w:sz w:val="26"/>
          <w:szCs w:val="26"/>
        </w:rPr>
      </w:pPr>
    </w:p>
    <w:p w14:paraId="7CB1C450"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PROPOSTA DE PREÇOS</w:t>
      </w:r>
      <w:r>
        <w:rPr>
          <w:rFonts w:ascii="Times New Roman" w:eastAsia="Times New Roman" w:hAnsi="Times New Roman" w:cs="Times New Roman"/>
          <w:b/>
          <w:sz w:val="26"/>
          <w:szCs w:val="26"/>
        </w:rPr>
        <w:br/>
        <w:t>EDITAL Nº 03/2024</w:t>
      </w:r>
      <w:r>
        <w:rPr>
          <w:rFonts w:ascii="Times New Roman" w:eastAsia="Times New Roman" w:hAnsi="Times New Roman" w:cs="Times New Roman"/>
          <w:b/>
          <w:sz w:val="26"/>
          <w:szCs w:val="26"/>
        </w:rPr>
        <w:br/>
      </w:r>
    </w:p>
    <w:p w14:paraId="4AC51E3C"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Processo administrativo nº 37/2023</w:t>
      </w:r>
      <w:r>
        <w:rPr>
          <w:rFonts w:ascii="Times New Roman" w:eastAsia="Times New Roman" w:hAnsi="Times New Roman" w:cs="Times New Roman"/>
          <w:b/>
          <w:sz w:val="26"/>
          <w:szCs w:val="26"/>
        </w:rPr>
        <w:br/>
        <w:t>Pregão Eletrônico nº 03/2024</w:t>
      </w:r>
    </w:p>
    <w:p w14:paraId="0725B04D"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br/>
        <w:t>OBJETO</w:t>
      </w:r>
      <w:r>
        <w:rPr>
          <w:rFonts w:ascii="Times New Roman" w:eastAsia="Times New Roman" w:hAnsi="Times New Roman" w:cs="Times New Roman"/>
          <w:sz w:val="26"/>
          <w:szCs w:val="26"/>
        </w:rPr>
        <w:t xml:space="preserve">: </w:t>
      </w:r>
    </w:p>
    <w:p w14:paraId="4BE93EE8" w14:textId="77777777" w:rsidR="00A05AD3" w:rsidRDefault="00A05AD3">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6"/>
          <w:szCs w:val="26"/>
        </w:rPr>
      </w:pPr>
    </w:p>
    <w:tbl>
      <w:tblPr>
        <w:tblStyle w:val="a7"/>
        <w:tblW w:w="9000" w:type="dxa"/>
        <w:tblInd w:w="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0"/>
      </w:tblGrid>
      <w:tr w:rsidR="00A05AD3" w14:paraId="1C5A83B2" w14:textId="77777777">
        <w:trPr>
          <w:trHeight w:val="283"/>
        </w:trPr>
        <w:tc>
          <w:tcPr>
            <w:tcW w:w="9000" w:type="dxa"/>
            <w:shd w:val="clear" w:color="auto" w:fill="auto"/>
            <w:tcMar>
              <w:top w:w="100" w:type="dxa"/>
              <w:left w:w="100" w:type="dxa"/>
              <w:bottom w:w="100" w:type="dxa"/>
              <w:right w:w="100" w:type="dxa"/>
            </w:tcMar>
          </w:tcPr>
          <w:p w14:paraId="4E1F2851" w14:textId="77777777" w:rsidR="00A05AD3" w:rsidRDefault="00000000">
            <w:pPr>
              <w:widowControl w:val="0"/>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Razão Social da Proponente:</w:t>
            </w:r>
          </w:p>
        </w:tc>
      </w:tr>
      <w:tr w:rsidR="00A05AD3" w14:paraId="233FB390" w14:textId="77777777">
        <w:tc>
          <w:tcPr>
            <w:tcW w:w="9000" w:type="dxa"/>
            <w:shd w:val="clear" w:color="auto" w:fill="auto"/>
            <w:tcMar>
              <w:top w:w="100" w:type="dxa"/>
              <w:left w:w="100" w:type="dxa"/>
              <w:bottom w:w="100" w:type="dxa"/>
              <w:right w:w="100" w:type="dxa"/>
            </w:tcMar>
          </w:tcPr>
          <w:p w14:paraId="577AF617" w14:textId="77777777" w:rsidR="00A05AD3" w:rsidRDefault="00000000">
            <w:pPr>
              <w:widowControl w:val="0"/>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Endereço:</w:t>
            </w:r>
          </w:p>
        </w:tc>
      </w:tr>
      <w:tr w:rsidR="00A05AD3" w14:paraId="5127CC77" w14:textId="77777777">
        <w:tc>
          <w:tcPr>
            <w:tcW w:w="9000" w:type="dxa"/>
            <w:shd w:val="clear" w:color="auto" w:fill="auto"/>
            <w:tcMar>
              <w:top w:w="100" w:type="dxa"/>
              <w:left w:w="100" w:type="dxa"/>
              <w:bottom w:w="100" w:type="dxa"/>
              <w:right w:w="100" w:type="dxa"/>
            </w:tcMar>
          </w:tcPr>
          <w:p w14:paraId="5DD861AB" w14:textId="77777777" w:rsidR="00A05AD3" w:rsidRDefault="00000000">
            <w:pPr>
              <w:widowControl w:val="0"/>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CEP:                            Fone: (</w:t>
            </w:r>
            <w:proofErr w:type="spellStart"/>
            <w:r>
              <w:rPr>
                <w:rFonts w:ascii="Times New Roman" w:eastAsia="Times New Roman" w:hAnsi="Times New Roman" w:cs="Times New Roman"/>
                <w:sz w:val="26"/>
                <w:szCs w:val="26"/>
              </w:rPr>
              <w:t>xx</w:t>
            </w:r>
            <w:proofErr w:type="spellEnd"/>
            <w:r>
              <w:rPr>
                <w:rFonts w:ascii="Times New Roman" w:eastAsia="Times New Roman" w:hAnsi="Times New Roman" w:cs="Times New Roman"/>
                <w:sz w:val="26"/>
                <w:szCs w:val="26"/>
              </w:rPr>
              <w:t xml:space="preserve">) </w:t>
            </w:r>
          </w:p>
        </w:tc>
      </w:tr>
      <w:tr w:rsidR="00A05AD3" w14:paraId="509188A4" w14:textId="77777777">
        <w:trPr>
          <w:trHeight w:val="56"/>
        </w:trPr>
        <w:tc>
          <w:tcPr>
            <w:tcW w:w="9000" w:type="dxa"/>
            <w:shd w:val="clear" w:color="auto" w:fill="auto"/>
            <w:tcMar>
              <w:top w:w="100" w:type="dxa"/>
              <w:left w:w="100" w:type="dxa"/>
              <w:bottom w:w="100" w:type="dxa"/>
              <w:right w:w="100" w:type="dxa"/>
            </w:tcMar>
          </w:tcPr>
          <w:p w14:paraId="7EDBC7EB" w14:textId="77777777" w:rsidR="00A05AD3" w:rsidRDefault="00000000">
            <w:pPr>
              <w:widowControl w:val="0"/>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E-mail:</w:t>
            </w:r>
          </w:p>
        </w:tc>
      </w:tr>
      <w:tr w:rsidR="00A05AD3" w14:paraId="346F1A70" w14:textId="77777777">
        <w:tc>
          <w:tcPr>
            <w:tcW w:w="9000" w:type="dxa"/>
            <w:shd w:val="clear" w:color="auto" w:fill="auto"/>
            <w:tcMar>
              <w:top w:w="100" w:type="dxa"/>
              <w:left w:w="100" w:type="dxa"/>
              <w:bottom w:w="100" w:type="dxa"/>
              <w:right w:w="100" w:type="dxa"/>
            </w:tcMar>
          </w:tcPr>
          <w:p w14:paraId="7A33E898" w14:textId="77777777" w:rsidR="00A05AD3" w:rsidRDefault="00000000">
            <w:pPr>
              <w:widowControl w:val="0"/>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CNPJ:                                                             Inscrição Estadual: </w:t>
            </w:r>
          </w:p>
        </w:tc>
      </w:tr>
    </w:tbl>
    <w:p w14:paraId="2556010C" w14:textId="77777777" w:rsidR="00A05AD3" w:rsidRDefault="00A05AD3">
      <w:pPr>
        <w:widowControl w:val="0"/>
        <w:spacing w:after="0" w:line="240" w:lineRule="auto"/>
        <w:ind w:left="49"/>
        <w:jc w:val="center"/>
        <w:rPr>
          <w:rFonts w:ascii="Times New Roman" w:eastAsia="Times New Roman" w:hAnsi="Times New Roman" w:cs="Times New Roman"/>
          <w:sz w:val="26"/>
          <w:szCs w:val="26"/>
        </w:rPr>
      </w:pPr>
    </w:p>
    <w:p w14:paraId="6F72F256" w14:textId="77777777" w:rsidR="00A05AD3" w:rsidRDefault="00A05AD3">
      <w:pPr>
        <w:widowControl w:val="0"/>
        <w:spacing w:after="0" w:line="240" w:lineRule="auto"/>
        <w:ind w:left="49" w:firstLine="671"/>
        <w:jc w:val="both"/>
        <w:rPr>
          <w:rFonts w:ascii="Times New Roman" w:eastAsia="Times New Roman" w:hAnsi="Times New Roman" w:cs="Times New Roman"/>
          <w:sz w:val="26"/>
          <w:szCs w:val="26"/>
        </w:rPr>
      </w:pPr>
    </w:p>
    <w:p w14:paraId="27C7CA4D" w14:textId="77777777" w:rsidR="00A05AD3" w:rsidRDefault="00A05AD3">
      <w:pPr>
        <w:spacing w:after="0" w:line="240" w:lineRule="auto"/>
        <w:jc w:val="both"/>
        <w:rPr>
          <w:rFonts w:ascii="Times New Roman" w:eastAsia="Times New Roman" w:hAnsi="Times New Roman" w:cs="Times New Roman"/>
          <w:sz w:val="26"/>
          <w:szCs w:val="26"/>
        </w:rPr>
      </w:pPr>
    </w:p>
    <w:tbl>
      <w:tblPr>
        <w:tblStyle w:val="a8"/>
        <w:tblW w:w="90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41"/>
        <w:gridCol w:w="3000"/>
        <w:gridCol w:w="1535"/>
        <w:gridCol w:w="1599"/>
        <w:gridCol w:w="2040"/>
      </w:tblGrid>
      <w:tr w:rsidR="00A05AD3" w14:paraId="7EE585D7" w14:textId="77777777">
        <w:trPr>
          <w:trHeight w:val="926"/>
        </w:trPr>
        <w:tc>
          <w:tcPr>
            <w:tcW w:w="9014" w:type="dxa"/>
            <w:gridSpan w:val="5"/>
            <w:tcBorders>
              <w:top w:val="single" w:sz="5" w:space="0" w:color="000000"/>
              <w:left w:val="single" w:sz="5" w:space="0" w:color="000000"/>
              <w:bottom w:val="single" w:sz="5" w:space="0" w:color="000000"/>
              <w:right w:val="single" w:sz="5" w:space="0" w:color="000000"/>
            </w:tcBorders>
            <w:shd w:val="clear" w:color="auto" w:fill="D9D9D9"/>
            <w:tcMar>
              <w:top w:w="0" w:type="dxa"/>
              <w:left w:w="100" w:type="dxa"/>
              <w:bottom w:w="0" w:type="dxa"/>
              <w:right w:w="100" w:type="dxa"/>
            </w:tcMar>
          </w:tcPr>
          <w:p w14:paraId="36A8A598" w14:textId="77777777" w:rsidR="00A05AD3" w:rsidRDefault="00000000">
            <w:pPr>
              <w:spacing w:before="240" w:after="24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LOTE 1</w:t>
            </w:r>
          </w:p>
        </w:tc>
      </w:tr>
      <w:tr w:rsidR="00A05AD3" w14:paraId="18927247" w14:textId="77777777">
        <w:trPr>
          <w:trHeight w:val="926"/>
        </w:trPr>
        <w:tc>
          <w:tcPr>
            <w:tcW w:w="840" w:type="dxa"/>
            <w:tcBorders>
              <w:top w:val="single" w:sz="5" w:space="0" w:color="000000"/>
              <w:left w:val="single" w:sz="5" w:space="0" w:color="000000"/>
              <w:bottom w:val="single" w:sz="5" w:space="0" w:color="000000"/>
              <w:right w:val="single" w:sz="5" w:space="0" w:color="000000"/>
            </w:tcBorders>
            <w:shd w:val="clear" w:color="auto" w:fill="D9D9D9"/>
            <w:tcMar>
              <w:top w:w="0" w:type="dxa"/>
              <w:left w:w="100" w:type="dxa"/>
              <w:bottom w:w="0" w:type="dxa"/>
              <w:right w:w="100" w:type="dxa"/>
            </w:tcMar>
          </w:tcPr>
          <w:p w14:paraId="464C9033" w14:textId="77777777" w:rsidR="00A05AD3" w:rsidRDefault="00000000">
            <w:pPr>
              <w:spacing w:before="240" w:after="24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Item</w:t>
            </w:r>
          </w:p>
        </w:tc>
        <w:tc>
          <w:tcPr>
            <w:tcW w:w="3000" w:type="dxa"/>
            <w:tcBorders>
              <w:top w:val="single" w:sz="5" w:space="0" w:color="000000"/>
              <w:left w:val="nil"/>
              <w:bottom w:val="single" w:sz="5" w:space="0" w:color="000000"/>
              <w:right w:val="single" w:sz="5" w:space="0" w:color="000000"/>
            </w:tcBorders>
            <w:shd w:val="clear" w:color="auto" w:fill="D9D9D9"/>
            <w:tcMar>
              <w:top w:w="0" w:type="dxa"/>
              <w:left w:w="100" w:type="dxa"/>
              <w:bottom w:w="0" w:type="dxa"/>
              <w:right w:w="100" w:type="dxa"/>
            </w:tcMar>
          </w:tcPr>
          <w:p w14:paraId="0244E18D" w14:textId="77777777" w:rsidR="00A05AD3" w:rsidRDefault="00000000">
            <w:pPr>
              <w:spacing w:before="240" w:after="24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Descrição e especificações mínimas</w:t>
            </w:r>
          </w:p>
        </w:tc>
        <w:tc>
          <w:tcPr>
            <w:tcW w:w="1535" w:type="dxa"/>
            <w:tcBorders>
              <w:top w:val="single" w:sz="5" w:space="0" w:color="000000"/>
              <w:left w:val="nil"/>
              <w:bottom w:val="single" w:sz="5" w:space="0" w:color="000000"/>
              <w:right w:val="single" w:sz="5" w:space="0" w:color="000000"/>
            </w:tcBorders>
            <w:shd w:val="clear" w:color="auto" w:fill="D9D9D9"/>
            <w:tcMar>
              <w:top w:w="0" w:type="dxa"/>
              <w:left w:w="100" w:type="dxa"/>
              <w:bottom w:w="0" w:type="dxa"/>
              <w:right w:w="100" w:type="dxa"/>
            </w:tcMar>
          </w:tcPr>
          <w:p w14:paraId="278D9CB7" w14:textId="77777777" w:rsidR="00A05AD3" w:rsidRDefault="00000000">
            <w:pPr>
              <w:spacing w:before="240" w:after="24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Quantidade</w:t>
            </w:r>
          </w:p>
        </w:tc>
        <w:tc>
          <w:tcPr>
            <w:tcW w:w="1599" w:type="dxa"/>
            <w:tcBorders>
              <w:top w:val="single" w:sz="5" w:space="0" w:color="000000"/>
              <w:left w:val="nil"/>
              <w:bottom w:val="single" w:sz="5" w:space="0" w:color="000000"/>
              <w:right w:val="single" w:sz="5" w:space="0" w:color="000000"/>
            </w:tcBorders>
            <w:shd w:val="clear" w:color="auto" w:fill="D9D9D9"/>
            <w:tcMar>
              <w:top w:w="0" w:type="dxa"/>
              <w:left w:w="100" w:type="dxa"/>
              <w:bottom w:w="0" w:type="dxa"/>
              <w:right w:w="100" w:type="dxa"/>
            </w:tcMar>
          </w:tcPr>
          <w:p w14:paraId="7EC1DEB0" w14:textId="77777777" w:rsidR="00A05AD3" w:rsidRDefault="00000000">
            <w:pPr>
              <w:spacing w:before="240" w:after="24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Valor unitário</w:t>
            </w:r>
          </w:p>
        </w:tc>
        <w:tc>
          <w:tcPr>
            <w:tcW w:w="2040" w:type="dxa"/>
            <w:tcBorders>
              <w:top w:val="single" w:sz="5" w:space="0" w:color="000000"/>
              <w:left w:val="nil"/>
              <w:bottom w:val="single" w:sz="5" w:space="0" w:color="000000"/>
              <w:right w:val="single" w:sz="5" w:space="0" w:color="000000"/>
            </w:tcBorders>
            <w:shd w:val="clear" w:color="auto" w:fill="D9D9D9"/>
            <w:tcMar>
              <w:top w:w="0" w:type="dxa"/>
              <w:left w:w="100" w:type="dxa"/>
              <w:bottom w:w="0" w:type="dxa"/>
              <w:right w:w="100" w:type="dxa"/>
            </w:tcMar>
          </w:tcPr>
          <w:p w14:paraId="6E88FE58" w14:textId="77777777" w:rsidR="00A05AD3" w:rsidRDefault="00000000">
            <w:pPr>
              <w:spacing w:before="240" w:after="24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Valor total</w:t>
            </w:r>
          </w:p>
        </w:tc>
      </w:tr>
      <w:tr w:rsidR="00A05AD3" w14:paraId="4F2F8D6B" w14:textId="77777777">
        <w:trPr>
          <w:trHeight w:val="585"/>
        </w:trPr>
        <w:tc>
          <w:tcPr>
            <w:tcW w:w="8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536CE75" w14:textId="77777777" w:rsidR="00A05AD3" w:rsidRDefault="00000000">
            <w:pPr>
              <w:spacing w:before="240" w:after="24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29B2EFA" w14:textId="77777777" w:rsidR="00A05AD3" w:rsidRDefault="00000000">
            <w:pPr>
              <w:spacing w:before="240" w:after="24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Notebook</w:t>
            </w:r>
          </w:p>
        </w:tc>
        <w:tc>
          <w:tcPr>
            <w:tcW w:w="1535" w:type="dxa"/>
            <w:tcBorders>
              <w:top w:val="nil"/>
              <w:left w:val="nil"/>
              <w:bottom w:val="single" w:sz="5" w:space="0" w:color="000000"/>
              <w:right w:val="single" w:sz="5" w:space="0" w:color="000000"/>
            </w:tcBorders>
            <w:tcMar>
              <w:top w:w="0" w:type="dxa"/>
              <w:left w:w="100" w:type="dxa"/>
              <w:bottom w:w="0" w:type="dxa"/>
              <w:right w:w="100" w:type="dxa"/>
            </w:tcMar>
          </w:tcPr>
          <w:p w14:paraId="766609CE" w14:textId="77777777" w:rsidR="00A05AD3" w:rsidRDefault="00000000">
            <w:pPr>
              <w:spacing w:before="240" w:after="24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10</w:t>
            </w:r>
          </w:p>
        </w:tc>
        <w:tc>
          <w:tcPr>
            <w:tcW w:w="1599" w:type="dxa"/>
            <w:tcBorders>
              <w:top w:val="nil"/>
              <w:left w:val="nil"/>
              <w:bottom w:val="single" w:sz="5" w:space="0" w:color="000000"/>
              <w:right w:val="single" w:sz="5" w:space="0" w:color="000000"/>
            </w:tcBorders>
            <w:tcMar>
              <w:top w:w="0" w:type="dxa"/>
              <w:left w:w="100" w:type="dxa"/>
              <w:bottom w:w="0" w:type="dxa"/>
              <w:right w:w="100" w:type="dxa"/>
            </w:tcMar>
          </w:tcPr>
          <w:p w14:paraId="43930DA3" w14:textId="77777777" w:rsidR="00A05AD3" w:rsidRDefault="00A05AD3">
            <w:pPr>
              <w:spacing w:before="240" w:after="240" w:line="240" w:lineRule="auto"/>
              <w:jc w:val="center"/>
              <w:rPr>
                <w:rFonts w:ascii="Times New Roman" w:eastAsia="Times New Roman" w:hAnsi="Times New Roman" w:cs="Times New Roman"/>
                <w:sz w:val="26"/>
                <w:szCs w:val="26"/>
              </w:rPr>
            </w:pPr>
          </w:p>
        </w:tc>
        <w:tc>
          <w:tcPr>
            <w:tcW w:w="2040" w:type="dxa"/>
            <w:tcBorders>
              <w:top w:val="nil"/>
              <w:left w:val="nil"/>
              <w:bottom w:val="single" w:sz="5" w:space="0" w:color="000000"/>
              <w:right w:val="single" w:sz="5" w:space="0" w:color="000000"/>
            </w:tcBorders>
            <w:tcMar>
              <w:top w:w="0" w:type="dxa"/>
              <w:left w:w="100" w:type="dxa"/>
              <w:bottom w:w="0" w:type="dxa"/>
              <w:right w:w="100" w:type="dxa"/>
            </w:tcMar>
          </w:tcPr>
          <w:p w14:paraId="7B7EEBF8" w14:textId="77777777" w:rsidR="00A05AD3" w:rsidRDefault="00A05AD3">
            <w:pPr>
              <w:spacing w:before="240" w:after="240" w:line="240" w:lineRule="auto"/>
              <w:jc w:val="center"/>
              <w:rPr>
                <w:rFonts w:ascii="Times New Roman" w:eastAsia="Times New Roman" w:hAnsi="Times New Roman" w:cs="Times New Roman"/>
                <w:sz w:val="26"/>
                <w:szCs w:val="26"/>
              </w:rPr>
            </w:pPr>
          </w:p>
        </w:tc>
      </w:tr>
      <w:tr w:rsidR="00A05AD3" w14:paraId="50F4592B" w14:textId="77777777">
        <w:trPr>
          <w:trHeight w:val="585"/>
        </w:trPr>
        <w:tc>
          <w:tcPr>
            <w:tcW w:w="6974" w:type="dxa"/>
            <w:gridSpan w:val="4"/>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E511351" w14:textId="77777777" w:rsidR="00A05AD3" w:rsidRDefault="00000000">
            <w:pPr>
              <w:spacing w:before="240" w:after="24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VALOR TOTAL</w:t>
            </w:r>
          </w:p>
        </w:tc>
        <w:tc>
          <w:tcPr>
            <w:tcW w:w="20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75EF546" w14:textId="77777777" w:rsidR="00A05AD3" w:rsidRDefault="00000000">
            <w:pPr>
              <w:spacing w:before="240" w:after="24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R$</w:t>
            </w:r>
          </w:p>
        </w:tc>
      </w:tr>
      <w:tr w:rsidR="00A05AD3" w14:paraId="2AA0C2BD" w14:textId="77777777">
        <w:trPr>
          <w:trHeight w:val="395"/>
        </w:trPr>
        <w:tc>
          <w:tcPr>
            <w:tcW w:w="9014" w:type="dxa"/>
            <w:gridSpan w:val="5"/>
            <w:tcBorders>
              <w:top w:val="nil"/>
              <w:left w:val="single" w:sz="5" w:space="0" w:color="000000"/>
              <w:bottom w:val="single" w:sz="5" w:space="0" w:color="000000"/>
              <w:right w:val="single" w:sz="5" w:space="0" w:color="000000"/>
            </w:tcBorders>
            <w:shd w:val="clear" w:color="auto" w:fill="D9D9D9"/>
            <w:tcMar>
              <w:top w:w="0" w:type="dxa"/>
              <w:left w:w="100" w:type="dxa"/>
              <w:bottom w:w="0" w:type="dxa"/>
              <w:right w:w="100" w:type="dxa"/>
            </w:tcMar>
          </w:tcPr>
          <w:p w14:paraId="490D9F30" w14:textId="77777777" w:rsidR="00A05AD3" w:rsidRDefault="00000000">
            <w:pPr>
              <w:spacing w:before="240" w:after="24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LOTE 2</w:t>
            </w:r>
          </w:p>
        </w:tc>
      </w:tr>
      <w:tr w:rsidR="00A05AD3" w14:paraId="231AFF7D" w14:textId="77777777">
        <w:trPr>
          <w:trHeight w:val="395"/>
        </w:trPr>
        <w:tc>
          <w:tcPr>
            <w:tcW w:w="840" w:type="dxa"/>
            <w:tcBorders>
              <w:top w:val="single" w:sz="5" w:space="0" w:color="000000"/>
              <w:left w:val="single" w:sz="5" w:space="0" w:color="000000"/>
              <w:bottom w:val="single" w:sz="5" w:space="0" w:color="000000"/>
              <w:right w:val="single" w:sz="5" w:space="0" w:color="000000"/>
            </w:tcBorders>
            <w:shd w:val="clear" w:color="auto" w:fill="D9D9D9"/>
            <w:tcMar>
              <w:top w:w="0" w:type="dxa"/>
              <w:left w:w="100" w:type="dxa"/>
              <w:bottom w:w="0" w:type="dxa"/>
              <w:right w:w="100" w:type="dxa"/>
            </w:tcMar>
          </w:tcPr>
          <w:p w14:paraId="745B9F61" w14:textId="77777777" w:rsidR="00A05AD3" w:rsidRDefault="00000000">
            <w:pPr>
              <w:spacing w:before="240" w:after="24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Item</w:t>
            </w:r>
          </w:p>
        </w:tc>
        <w:tc>
          <w:tcPr>
            <w:tcW w:w="3000" w:type="dxa"/>
            <w:tcBorders>
              <w:top w:val="single" w:sz="5" w:space="0" w:color="000000"/>
              <w:left w:val="nil"/>
              <w:bottom w:val="single" w:sz="5" w:space="0" w:color="000000"/>
              <w:right w:val="single" w:sz="5" w:space="0" w:color="000000"/>
            </w:tcBorders>
            <w:shd w:val="clear" w:color="auto" w:fill="D9D9D9"/>
            <w:tcMar>
              <w:top w:w="0" w:type="dxa"/>
              <w:left w:w="100" w:type="dxa"/>
              <w:bottom w:w="0" w:type="dxa"/>
              <w:right w:w="100" w:type="dxa"/>
            </w:tcMar>
          </w:tcPr>
          <w:p w14:paraId="79FE3A74" w14:textId="77777777" w:rsidR="00A05AD3" w:rsidRDefault="00000000">
            <w:pPr>
              <w:spacing w:before="240" w:after="24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Descrição e especificações mínimas</w:t>
            </w:r>
          </w:p>
        </w:tc>
        <w:tc>
          <w:tcPr>
            <w:tcW w:w="1535" w:type="dxa"/>
            <w:tcBorders>
              <w:top w:val="single" w:sz="5" w:space="0" w:color="000000"/>
              <w:left w:val="nil"/>
              <w:bottom w:val="single" w:sz="5" w:space="0" w:color="000000"/>
              <w:right w:val="single" w:sz="5" w:space="0" w:color="000000"/>
            </w:tcBorders>
            <w:shd w:val="clear" w:color="auto" w:fill="D9D9D9"/>
            <w:tcMar>
              <w:top w:w="0" w:type="dxa"/>
              <w:left w:w="100" w:type="dxa"/>
              <w:bottom w:w="0" w:type="dxa"/>
              <w:right w:w="100" w:type="dxa"/>
            </w:tcMar>
          </w:tcPr>
          <w:p w14:paraId="29157BD6" w14:textId="77777777" w:rsidR="00A05AD3" w:rsidRDefault="00000000">
            <w:pPr>
              <w:spacing w:before="240" w:after="24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Quantidade</w:t>
            </w:r>
          </w:p>
        </w:tc>
        <w:tc>
          <w:tcPr>
            <w:tcW w:w="1599" w:type="dxa"/>
            <w:tcBorders>
              <w:top w:val="single" w:sz="5" w:space="0" w:color="000000"/>
              <w:left w:val="nil"/>
              <w:bottom w:val="single" w:sz="5" w:space="0" w:color="000000"/>
              <w:right w:val="single" w:sz="5" w:space="0" w:color="000000"/>
            </w:tcBorders>
            <w:shd w:val="clear" w:color="auto" w:fill="D9D9D9"/>
            <w:tcMar>
              <w:top w:w="0" w:type="dxa"/>
              <w:left w:w="100" w:type="dxa"/>
              <w:bottom w:w="0" w:type="dxa"/>
              <w:right w:w="100" w:type="dxa"/>
            </w:tcMar>
          </w:tcPr>
          <w:p w14:paraId="383C98C9" w14:textId="77777777" w:rsidR="00A05AD3" w:rsidRDefault="00000000">
            <w:pPr>
              <w:spacing w:before="240" w:after="24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Valor unitário</w:t>
            </w:r>
          </w:p>
        </w:tc>
        <w:tc>
          <w:tcPr>
            <w:tcW w:w="2040" w:type="dxa"/>
            <w:tcBorders>
              <w:top w:val="single" w:sz="5" w:space="0" w:color="000000"/>
              <w:left w:val="nil"/>
              <w:bottom w:val="single" w:sz="5" w:space="0" w:color="000000"/>
              <w:right w:val="single" w:sz="5" w:space="0" w:color="000000"/>
            </w:tcBorders>
            <w:shd w:val="clear" w:color="auto" w:fill="D9D9D9"/>
            <w:tcMar>
              <w:top w:w="0" w:type="dxa"/>
              <w:left w:w="100" w:type="dxa"/>
              <w:bottom w:w="0" w:type="dxa"/>
              <w:right w:w="100" w:type="dxa"/>
            </w:tcMar>
          </w:tcPr>
          <w:p w14:paraId="07BE1AE9" w14:textId="77777777" w:rsidR="00A05AD3" w:rsidRDefault="00000000">
            <w:pPr>
              <w:spacing w:before="240" w:after="24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Valor total</w:t>
            </w:r>
          </w:p>
        </w:tc>
      </w:tr>
      <w:tr w:rsidR="00A05AD3" w14:paraId="6EAD28FB" w14:textId="77777777">
        <w:trPr>
          <w:trHeight w:val="395"/>
        </w:trPr>
        <w:tc>
          <w:tcPr>
            <w:tcW w:w="8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DC823A4" w14:textId="77777777" w:rsidR="00A05AD3" w:rsidRDefault="00000000">
            <w:pPr>
              <w:spacing w:before="240" w:after="24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20C447C" w14:textId="77777777" w:rsidR="00A05AD3" w:rsidRDefault="00000000">
            <w:pPr>
              <w:spacing w:before="240" w:after="24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Scanner de mesa</w:t>
            </w:r>
          </w:p>
        </w:tc>
        <w:tc>
          <w:tcPr>
            <w:tcW w:w="1535" w:type="dxa"/>
            <w:tcBorders>
              <w:top w:val="nil"/>
              <w:left w:val="nil"/>
              <w:bottom w:val="single" w:sz="5" w:space="0" w:color="000000"/>
              <w:right w:val="single" w:sz="5" w:space="0" w:color="000000"/>
            </w:tcBorders>
            <w:tcMar>
              <w:top w:w="0" w:type="dxa"/>
              <w:left w:w="100" w:type="dxa"/>
              <w:bottom w:w="0" w:type="dxa"/>
              <w:right w:w="100" w:type="dxa"/>
            </w:tcMar>
          </w:tcPr>
          <w:p w14:paraId="0BAC3732" w14:textId="77777777" w:rsidR="00A05AD3" w:rsidRDefault="00000000">
            <w:pPr>
              <w:spacing w:before="240" w:after="24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1599" w:type="dxa"/>
            <w:tcBorders>
              <w:top w:val="nil"/>
              <w:left w:val="nil"/>
              <w:bottom w:val="single" w:sz="5" w:space="0" w:color="000000"/>
              <w:right w:val="single" w:sz="5" w:space="0" w:color="000000"/>
            </w:tcBorders>
            <w:tcMar>
              <w:top w:w="0" w:type="dxa"/>
              <w:left w:w="100" w:type="dxa"/>
              <w:bottom w:w="0" w:type="dxa"/>
              <w:right w:w="100" w:type="dxa"/>
            </w:tcMar>
          </w:tcPr>
          <w:p w14:paraId="68CE2D16" w14:textId="77777777" w:rsidR="00A05AD3" w:rsidRDefault="00A05AD3">
            <w:pPr>
              <w:spacing w:before="240" w:after="240" w:line="240" w:lineRule="auto"/>
              <w:jc w:val="center"/>
              <w:rPr>
                <w:rFonts w:ascii="Times New Roman" w:eastAsia="Times New Roman" w:hAnsi="Times New Roman" w:cs="Times New Roman"/>
                <w:sz w:val="26"/>
                <w:szCs w:val="26"/>
              </w:rPr>
            </w:pPr>
          </w:p>
        </w:tc>
        <w:tc>
          <w:tcPr>
            <w:tcW w:w="2040" w:type="dxa"/>
            <w:tcBorders>
              <w:top w:val="nil"/>
              <w:left w:val="nil"/>
              <w:bottom w:val="single" w:sz="5" w:space="0" w:color="000000"/>
              <w:right w:val="single" w:sz="5" w:space="0" w:color="000000"/>
            </w:tcBorders>
            <w:tcMar>
              <w:top w:w="0" w:type="dxa"/>
              <w:left w:w="100" w:type="dxa"/>
              <w:bottom w:w="0" w:type="dxa"/>
              <w:right w:w="100" w:type="dxa"/>
            </w:tcMar>
          </w:tcPr>
          <w:p w14:paraId="48A4A079" w14:textId="77777777" w:rsidR="00A05AD3" w:rsidRDefault="00A05AD3">
            <w:pPr>
              <w:spacing w:before="240" w:after="240" w:line="240" w:lineRule="auto"/>
              <w:jc w:val="center"/>
              <w:rPr>
                <w:rFonts w:ascii="Times New Roman" w:eastAsia="Times New Roman" w:hAnsi="Times New Roman" w:cs="Times New Roman"/>
                <w:sz w:val="26"/>
                <w:szCs w:val="26"/>
              </w:rPr>
            </w:pPr>
          </w:p>
        </w:tc>
      </w:tr>
      <w:tr w:rsidR="00A05AD3" w14:paraId="4DD528F6" w14:textId="77777777">
        <w:trPr>
          <w:trHeight w:val="716"/>
        </w:trPr>
        <w:tc>
          <w:tcPr>
            <w:tcW w:w="8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40A1C06" w14:textId="77777777" w:rsidR="00A05AD3" w:rsidRDefault="00000000">
            <w:pPr>
              <w:spacing w:before="240" w:after="24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2E1C8F5" w14:textId="77777777" w:rsidR="00A05AD3" w:rsidRDefault="00000000">
            <w:pPr>
              <w:spacing w:before="240" w:after="24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Impressora Multifuncional Colorida</w:t>
            </w:r>
          </w:p>
        </w:tc>
        <w:tc>
          <w:tcPr>
            <w:tcW w:w="1535" w:type="dxa"/>
            <w:tcBorders>
              <w:top w:val="nil"/>
              <w:left w:val="nil"/>
              <w:bottom w:val="single" w:sz="5" w:space="0" w:color="000000"/>
              <w:right w:val="single" w:sz="5" w:space="0" w:color="000000"/>
            </w:tcBorders>
            <w:tcMar>
              <w:top w:w="0" w:type="dxa"/>
              <w:left w:w="100" w:type="dxa"/>
              <w:bottom w:w="0" w:type="dxa"/>
              <w:right w:w="100" w:type="dxa"/>
            </w:tcMar>
          </w:tcPr>
          <w:p w14:paraId="7AE70A02" w14:textId="77777777" w:rsidR="00A05AD3" w:rsidRDefault="00000000">
            <w:pPr>
              <w:spacing w:before="240" w:after="24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1599" w:type="dxa"/>
            <w:tcBorders>
              <w:top w:val="nil"/>
              <w:left w:val="nil"/>
              <w:bottom w:val="single" w:sz="5" w:space="0" w:color="000000"/>
              <w:right w:val="single" w:sz="5" w:space="0" w:color="000000"/>
            </w:tcBorders>
            <w:tcMar>
              <w:top w:w="0" w:type="dxa"/>
              <w:left w:w="100" w:type="dxa"/>
              <w:bottom w:w="0" w:type="dxa"/>
              <w:right w:w="100" w:type="dxa"/>
            </w:tcMar>
          </w:tcPr>
          <w:p w14:paraId="0C77F8F9" w14:textId="77777777" w:rsidR="00A05AD3" w:rsidRDefault="00A05AD3">
            <w:pPr>
              <w:spacing w:before="240" w:after="240" w:line="240" w:lineRule="auto"/>
              <w:jc w:val="center"/>
              <w:rPr>
                <w:rFonts w:ascii="Times New Roman" w:eastAsia="Times New Roman" w:hAnsi="Times New Roman" w:cs="Times New Roman"/>
                <w:sz w:val="26"/>
                <w:szCs w:val="26"/>
              </w:rPr>
            </w:pPr>
          </w:p>
        </w:tc>
        <w:tc>
          <w:tcPr>
            <w:tcW w:w="2040" w:type="dxa"/>
            <w:tcBorders>
              <w:top w:val="nil"/>
              <w:left w:val="nil"/>
              <w:bottom w:val="single" w:sz="5" w:space="0" w:color="000000"/>
              <w:right w:val="single" w:sz="5" w:space="0" w:color="000000"/>
            </w:tcBorders>
            <w:tcMar>
              <w:top w:w="0" w:type="dxa"/>
              <w:left w:w="100" w:type="dxa"/>
              <w:bottom w:w="0" w:type="dxa"/>
              <w:right w:w="100" w:type="dxa"/>
            </w:tcMar>
          </w:tcPr>
          <w:p w14:paraId="719720E0" w14:textId="77777777" w:rsidR="00A05AD3" w:rsidRDefault="00A05AD3">
            <w:pPr>
              <w:spacing w:before="240" w:after="240" w:line="240" w:lineRule="auto"/>
              <w:jc w:val="center"/>
              <w:rPr>
                <w:rFonts w:ascii="Times New Roman" w:eastAsia="Times New Roman" w:hAnsi="Times New Roman" w:cs="Times New Roman"/>
                <w:sz w:val="26"/>
                <w:szCs w:val="26"/>
              </w:rPr>
            </w:pPr>
          </w:p>
        </w:tc>
      </w:tr>
      <w:tr w:rsidR="00A05AD3" w14:paraId="657ECDEF" w14:textId="77777777">
        <w:trPr>
          <w:trHeight w:val="887"/>
        </w:trPr>
        <w:tc>
          <w:tcPr>
            <w:tcW w:w="8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913B50" w14:textId="77777777" w:rsidR="00A05AD3" w:rsidRDefault="00000000">
            <w:pPr>
              <w:spacing w:before="240" w:after="24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F9D2CA7" w14:textId="77777777" w:rsidR="00A05AD3" w:rsidRDefault="00000000">
            <w:pPr>
              <w:spacing w:before="240" w:after="24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Impressora Multifuncional monocromática</w:t>
            </w:r>
          </w:p>
        </w:tc>
        <w:tc>
          <w:tcPr>
            <w:tcW w:w="1535" w:type="dxa"/>
            <w:tcBorders>
              <w:top w:val="nil"/>
              <w:left w:val="nil"/>
              <w:bottom w:val="single" w:sz="5" w:space="0" w:color="000000"/>
              <w:right w:val="single" w:sz="5" w:space="0" w:color="000000"/>
            </w:tcBorders>
            <w:tcMar>
              <w:top w:w="0" w:type="dxa"/>
              <w:left w:w="100" w:type="dxa"/>
              <w:bottom w:w="0" w:type="dxa"/>
              <w:right w:w="100" w:type="dxa"/>
            </w:tcMar>
          </w:tcPr>
          <w:p w14:paraId="3BC6CC2C" w14:textId="77777777" w:rsidR="00A05AD3" w:rsidRDefault="00000000">
            <w:pPr>
              <w:spacing w:before="240" w:after="24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1599" w:type="dxa"/>
            <w:tcBorders>
              <w:top w:val="nil"/>
              <w:left w:val="nil"/>
              <w:bottom w:val="single" w:sz="5" w:space="0" w:color="000000"/>
              <w:right w:val="single" w:sz="5" w:space="0" w:color="000000"/>
            </w:tcBorders>
            <w:tcMar>
              <w:top w:w="0" w:type="dxa"/>
              <w:left w:w="100" w:type="dxa"/>
              <w:bottom w:w="0" w:type="dxa"/>
              <w:right w:w="100" w:type="dxa"/>
            </w:tcMar>
          </w:tcPr>
          <w:p w14:paraId="54939517" w14:textId="77777777" w:rsidR="00A05AD3" w:rsidRDefault="00A05AD3">
            <w:pPr>
              <w:spacing w:before="240" w:after="240" w:line="240" w:lineRule="auto"/>
              <w:jc w:val="center"/>
              <w:rPr>
                <w:rFonts w:ascii="Times New Roman" w:eastAsia="Times New Roman" w:hAnsi="Times New Roman" w:cs="Times New Roman"/>
                <w:sz w:val="26"/>
                <w:szCs w:val="26"/>
              </w:rPr>
            </w:pPr>
          </w:p>
        </w:tc>
        <w:tc>
          <w:tcPr>
            <w:tcW w:w="2040" w:type="dxa"/>
            <w:tcBorders>
              <w:top w:val="nil"/>
              <w:left w:val="nil"/>
              <w:bottom w:val="single" w:sz="5" w:space="0" w:color="000000"/>
              <w:right w:val="single" w:sz="5" w:space="0" w:color="000000"/>
            </w:tcBorders>
            <w:tcMar>
              <w:top w:w="0" w:type="dxa"/>
              <w:left w:w="100" w:type="dxa"/>
              <w:bottom w:w="0" w:type="dxa"/>
              <w:right w:w="100" w:type="dxa"/>
            </w:tcMar>
          </w:tcPr>
          <w:p w14:paraId="3CCB7CC8" w14:textId="77777777" w:rsidR="00A05AD3" w:rsidRDefault="00A05AD3">
            <w:pPr>
              <w:spacing w:before="240" w:after="240" w:line="240" w:lineRule="auto"/>
              <w:jc w:val="center"/>
              <w:rPr>
                <w:rFonts w:ascii="Times New Roman" w:eastAsia="Times New Roman" w:hAnsi="Times New Roman" w:cs="Times New Roman"/>
                <w:sz w:val="26"/>
                <w:szCs w:val="26"/>
              </w:rPr>
            </w:pPr>
          </w:p>
        </w:tc>
      </w:tr>
      <w:tr w:rsidR="00A05AD3" w14:paraId="6D468F44" w14:textId="77777777">
        <w:trPr>
          <w:trHeight w:val="887"/>
        </w:trPr>
        <w:tc>
          <w:tcPr>
            <w:tcW w:w="6974" w:type="dxa"/>
            <w:gridSpan w:val="4"/>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CAF3C64" w14:textId="77777777" w:rsidR="00A05AD3" w:rsidRDefault="00000000">
            <w:pPr>
              <w:spacing w:before="240" w:after="24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VALOR TOTAL</w:t>
            </w:r>
          </w:p>
        </w:tc>
        <w:tc>
          <w:tcPr>
            <w:tcW w:w="20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9AC97C0" w14:textId="77777777" w:rsidR="00A05AD3" w:rsidRDefault="00000000">
            <w:pPr>
              <w:spacing w:before="240" w:after="24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R$</w:t>
            </w:r>
          </w:p>
        </w:tc>
      </w:tr>
      <w:tr w:rsidR="00A05AD3" w14:paraId="78425233" w14:textId="77777777">
        <w:trPr>
          <w:trHeight w:val="915"/>
        </w:trPr>
        <w:tc>
          <w:tcPr>
            <w:tcW w:w="9014" w:type="dxa"/>
            <w:gridSpan w:val="5"/>
            <w:tcBorders>
              <w:top w:val="nil"/>
              <w:left w:val="single" w:sz="5" w:space="0" w:color="000000"/>
              <w:bottom w:val="single" w:sz="5" w:space="0" w:color="000000"/>
              <w:right w:val="single" w:sz="5" w:space="0" w:color="000000"/>
            </w:tcBorders>
            <w:shd w:val="clear" w:color="auto" w:fill="D9D9D9"/>
            <w:tcMar>
              <w:top w:w="0" w:type="dxa"/>
              <w:left w:w="100" w:type="dxa"/>
              <w:bottom w:w="0" w:type="dxa"/>
              <w:right w:w="100" w:type="dxa"/>
            </w:tcMar>
          </w:tcPr>
          <w:p w14:paraId="46F320E9" w14:textId="77777777" w:rsidR="00A05AD3" w:rsidRDefault="00000000">
            <w:pPr>
              <w:spacing w:before="240" w:after="24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LOTE 3</w:t>
            </w:r>
          </w:p>
        </w:tc>
      </w:tr>
      <w:tr w:rsidR="00A05AD3" w14:paraId="1DDA2168" w14:textId="77777777">
        <w:trPr>
          <w:trHeight w:val="915"/>
        </w:trPr>
        <w:tc>
          <w:tcPr>
            <w:tcW w:w="840" w:type="dxa"/>
            <w:tcBorders>
              <w:top w:val="single" w:sz="5" w:space="0" w:color="000000"/>
              <w:left w:val="single" w:sz="5" w:space="0" w:color="000000"/>
              <w:bottom w:val="single" w:sz="5" w:space="0" w:color="000000"/>
              <w:right w:val="single" w:sz="5" w:space="0" w:color="000000"/>
            </w:tcBorders>
            <w:shd w:val="clear" w:color="auto" w:fill="D9D9D9"/>
            <w:tcMar>
              <w:top w:w="0" w:type="dxa"/>
              <w:left w:w="100" w:type="dxa"/>
              <w:bottom w:w="0" w:type="dxa"/>
              <w:right w:w="100" w:type="dxa"/>
            </w:tcMar>
          </w:tcPr>
          <w:p w14:paraId="23585A47" w14:textId="77777777" w:rsidR="00A05AD3" w:rsidRDefault="00000000">
            <w:pPr>
              <w:spacing w:before="240" w:after="24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Item</w:t>
            </w:r>
          </w:p>
        </w:tc>
        <w:tc>
          <w:tcPr>
            <w:tcW w:w="3000" w:type="dxa"/>
            <w:tcBorders>
              <w:top w:val="single" w:sz="5" w:space="0" w:color="000000"/>
              <w:left w:val="nil"/>
              <w:bottom w:val="single" w:sz="5" w:space="0" w:color="000000"/>
              <w:right w:val="single" w:sz="5" w:space="0" w:color="000000"/>
            </w:tcBorders>
            <w:shd w:val="clear" w:color="auto" w:fill="D9D9D9"/>
            <w:tcMar>
              <w:top w:w="0" w:type="dxa"/>
              <w:left w:w="100" w:type="dxa"/>
              <w:bottom w:w="0" w:type="dxa"/>
              <w:right w:w="100" w:type="dxa"/>
            </w:tcMar>
          </w:tcPr>
          <w:p w14:paraId="0F8C1111" w14:textId="77777777" w:rsidR="00A05AD3" w:rsidRDefault="00000000">
            <w:pPr>
              <w:spacing w:before="240" w:after="24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Descrição e especificações mínimas</w:t>
            </w:r>
          </w:p>
        </w:tc>
        <w:tc>
          <w:tcPr>
            <w:tcW w:w="1535" w:type="dxa"/>
            <w:tcBorders>
              <w:top w:val="single" w:sz="5" w:space="0" w:color="000000"/>
              <w:left w:val="nil"/>
              <w:bottom w:val="single" w:sz="5" w:space="0" w:color="000000"/>
              <w:right w:val="single" w:sz="5" w:space="0" w:color="000000"/>
            </w:tcBorders>
            <w:shd w:val="clear" w:color="auto" w:fill="D9D9D9"/>
            <w:tcMar>
              <w:top w:w="0" w:type="dxa"/>
              <w:left w:w="100" w:type="dxa"/>
              <w:bottom w:w="0" w:type="dxa"/>
              <w:right w:w="100" w:type="dxa"/>
            </w:tcMar>
          </w:tcPr>
          <w:p w14:paraId="0B77604B" w14:textId="77777777" w:rsidR="00A05AD3" w:rsidRDefault="00000000">
            <w:pPr>
              <w:spacing w:before="240" w:after="24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Quantidade</w:t>
            </w:r>
          </w:p>
        </w:tc>
        <w:tc>
          <w:tcPr>
            <w:tcW w:w="1599" w:type="dxa"/>
            <w:tcBorders>
              <w:top w:val="single" w:sz="5" w:space="0" w:color="000000"/>
              <w:left w:val="nil"/>
              <w:bottom w:val="single" w:sz="5" w:space="0" w:color="000000"/>
              <w:right w:val="single" w:sz="5" w:space="0" w:color="000000"/>
            </w:tcBorders>
            <w:shd w:val="clear" w:color="auto" w:fill="D9D9D9"/>
            <w:tcMar>
              <w:top w:w="0" w:type="dxa"/>
              <w:left w:w="100" w:type="dxa"/>
              <w:bottom w:w="0" w:type="dxa"/>
              <w:right w:w="100" w:type="dxa"/>
            </w:tcMar>
          </w:tcPr>
          <w:p w14:paraId="7DB5C9AD" w14:textId="77777777" w:rsidR="00A05AD3" w:rsidRDefault="00000000">
            <w:pPr>
              <w:spacing w:before="240" w:after="24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Valor unitário</w:t>
            </w:r>
          </w:p>
        </w:tc>
        <w:tc>
          <w:tcPr>
            <w:tcW w:w="2040" w:type="dxa"/>
            <w:tcBorders>
              <w:top w:val="single" w:sz="5" w:space="0" w:color="000000"/>
              <w:left w:val="nil"/>
              <w:bottom w:val="single" w:sz="5" w:space="0" w:color="000000"/>
              <w:right w:val="single" w:sz="5" w:space="0" w:color="000000"/>
            </w:tcBorders>
            <w:shd w:val="clear" w:color="auto" w:fill="D9D9D9"/>
            <w:tcMar>
              <w:top w:w="0" w:type="dxa"/>
              <w:left w:w="100" w:type="dxa"/>
              <w:bottom w:w="0" w:type="dxa"/>
              <w:right w:w="100" w:type="dxa"/>
            </w:tcMar>
          </w:tcPr>
          <w:p w14:paraId="4206E709" w14:textId="77777777" w:rsidR="00A05AD3" w:rsidRDefault="00000000">
            <w:pPr>
              <w:spacing w:before="240" w:after="24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Valor total</w:t>
            </w:r>
          </w:p>
        </w:tc>
      </w:tr>
      <w:tr w:rsidR="00A05AD3" w14:paraId="6AB3BFC6" w14:textId="77777777">
        <w:trPr>
          <w:trHeight w:val="915"/>
        </w:trPr>
        <w:tc>
          <w:tcPr>
            <w:tcW w:w="8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4406427" w14:textId="77777777" w:rsidR="00A05AD3" w:rsidRDefault="00000000">
            <w:pPr>
              <w:spacing w:before="240" w:after="24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54F100C" w14:textId="77777777" w:rsidR="00A05AD3" w:rsidRDefault="00000000">
            <w:pPr>
              <w:spacing w:before="240" w:after="24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Aparelho de </w:t>
            </w:r>
            <w:proofErr w:type="gramStart"/>
            <w:r>
              <w:rPr>
                <w:rFonts w:ascii="Times New Roman" w:eastAsia="Times New Roman" w:hAnsi="Times New Roman" w:cs="Times New Roman"/>
                <w:b/>
                <w:sz w:val="26"/>
                <w:szCs w:val="26"/>
              </w:rPr>
              <w:t>ar condicionado</w:t>
            </w:r>
            <w:proofErr w:type="gramEnd"/>
            <w:r>
              <w:rPr>
                <w:rFonts w:ascii="Times New Roman" w:eastAsia="Times New Roman" w:hAnsi="Times New Roman" w:cs="Times New Roman"/>
                <w:b/>
                <w:sz w:val="26"/>
                <w:szCs w:val="26"/>
              </w:rPr>
              <w:t xml:space="preserve"> 12.000 BTUS</w:t>
            </w:r>
          </w:p>
        </w:tc>
        <w:tc>
          <w:tcPr>
            <w:tcW w:w="1535" w:type="dxa"/>
            <w:tcBorders>
              <w:top w:val="nil"/>
              <w:left w:val="nil"/>
              <w:bottom w:val="single" w:sz="5" w:space="0" w:color="000000"/>
              <w:right w:val="single" w:sz="5" w:space="0" w:color="000000"/>
            </w:tcBorders>
            <w:tcMar>
              <w:top w:w="0" w:type="dxa"/>
              <w:left w:w="100" w:type="dxa"/>
              <w:bottom w:w="0" w:type="dxa"/>
              <w:right w:w="100" w:type="dxa"/>
            </w:tcMar>
          </w:tcPr>
          <w:p w14:paraId="05277B13" w14:textId="77777777" w:rsidR="00A05AD3" w:rsidRDefault="00000000">
            <w:pPr>
              <w:spacing w:before="240" w:after="24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tc>
        <w:tc>
          <w:tcPr>
            <w:tcW w:w="1599" w:type="dxa"/>
            <w:tcBorders>
              <w:top w:val="nil"/>
              <w:left w:val="nil"/>
              <w:bottom w:val="single" w:sz="5" w:space="0" w:color="000000"/>
              <w:right w:val="single" w:sz="5" w:space="0" w:color="000000"/>
            </w:tcBorders>
            <w:tcMar>
              <w:top w:w="0" w:type="dxa"/>
              <w:left w:w="100" w:type="dxa"/>
              <w:bottom w:w="0" w:type="dxa"/>
              <w:right w:w="100" w:type="dxa"/>
            </w:tcMar>
          </w:tcPr>
          <w:p w14:paraId="56A92BCB" w14:textId="77777777" w:rsidR="00A05AD3" w:rsidRDefault="00A05AD3">
            <w:pPr>
              <w:spacing w:before="240" w:after="240" w:line="240" w:lineRule="auto"/>
              <w:jc w:val="center"/>
              <w:rPr>
                <w:rFonts w:ascii="Times New Roman" w:eastAsia="Times New Roman" w:hAnsi="Times New Roman" w:cs="Times New Roman"/>
                <w:sz w:val="26"/>
                <w:szCs w:val="26"/>
              </w:rPr>
            </w:pPr>
          </w:p>
        </w:tc>
        <w:tc>
          <w:tcPr>
            <w:tcW w:w="2040" w:type="dxa"/>
            <w:tcBorders>
              <w:top w:val="nil"/>
              <w:left w:val="nil"/>
              <w:bottom w:val="single" w:sz="5" w:space="0" w:color="000000"/>
              <w:right w:val="single" w:sz="5" w:space="0" w:color="000000"/>
            </w:tcBorders>
            <w:tcMar>
              <w:top w:w="0" w:type="dxa"/>
              <w:left w:w="100" w:type="dxa"/>
              <w:bottom w:w="0" w:type="dxa"/>
              <w:right w:w="100" w:type="dxa"/>
            </w:tcMar>
          </w:tcPr>
          <w:p w14:paraId="3301E4D0" w14:textId="77777777" w:rsidR="00A05AD3" w:rsidRDefault="00A05AD3">
            <w:pPr>
              <w:spacing w:before="240" w:after="240" w:line="240" w:lineRule="auto"/>
              <w:jc w:val="center"/>
              <w:rPr>
                <w:rFonts w:ascii="Times New Roman" w:eastAsia="Times New Roman" w:hAnsi="Times New Roman" w:cs="Times New Roman"/>
                <w:sz w:val="26"/>
                <w:szCs w:val="26"/>
              </w:rPr>
            </w:pPr>
          </w:p>
        </w:tc>
      </w:tr>
      <w:tr w:rsidR="00A05AD3" w14:paraId="50D13E7B" w14:textId="77777777">
        <w:trPr>
          <w:trHeight w:val="735"/>
        </w:trPr>
        <w:tc>
          <w:tcPr>
            <w:tcW w:w="8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CD10253" w14:textId="77777777" w:rsidR="00A05AD3" w:rsidRDefault="00000000">
            <w:pPr>
              <w:spacing w:before="240" w:after="24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952D323" w14:textId="77777777" w:rsidR="00A05AD3" w:rsidRDefault="00000000">
            <w:pPr>
              <w:spacing w:before="240" w:after="24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Aparelho de </w:t>
            </w:r>
            <w:proofErr w:type="gramStart"/>
            <w:r>
              <w:rPr>
                <w:rFonts w:ascii="Times New Roman" w:eastAsia="Times New Roman" w:hAnsi="Times New Roman" w:cs="Times New Roman"/>
                <w:b/>
                <w:sz w:val="26"/>
                <w:szCs w:val="26"/>
              </w:rPr>
              <w:t>ar condicionado</w:t>
            </w:r>
            <w:proofErr w:type="gramEnd"/>
            <w:r>
              <w:rPr>
                <w:rFonts w:ascii="Times New Roman" w:eastAsia="Times New Roman" w:hAnsi="Times New Roman" w:cs="Times New Roman"/>
                <w:b/>
                <w:sz w:val="26"/>
                <w:szCs w:val="26"/>
              </w:rPr>
              <w:t xml:space="preserve"> 18.000 BTUS </w:t>
            </w: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 xml:space="preserve"> </w:t>
            </w:r>
          </w:p>
        </w:tc>
        <w:tc>
          <w:tcPr>
            <w:tcW w:w="1535" w:type="dxa"/>
            <w:tcBorders>
              <w:top w:val="nil"/>
              <w:left w:val="nil"/>
              <w:bottom w:val="single" w:sz="5" w:space="0" w:color="000000"/>
              <w:right w:val="single" w:sz="5" w:space="0" w:color="000000"/>
            </w:tcBorders>
            <w:tcMar>
              <w:top w:w="0" w:type="dxa"/>
              <w:left w:w="100" w:type="dxa"/>
              <w:bottom w:w="0" w:type="dxa"/>
              <w:right w:w="100" w:type="dxa"/>
            </w:tcMar>
          </w:tcPr>
          <w:p w14:paraId="097ACD45" w14:textId="77777777" w:rsidR="00A05AD3" w:rsidRDefault="00000000">
            <w:pPr>
              <w:spacing w:before="240" w:after="24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599" w:type="dxa"/>
            <w:tcBorders>
              <w:top w:val="nil"/>
              <w:left w:val="nil"/>
              <w:bottom w:val="single" w:sz="5" w:space="0" w:color="000000"/>
              <w:right w:val="single" w:sz="5" w:space="0" w:color="000000"/>
            </w:tcBorders>
            <w:tcMar>
              <w:top w:w="0" w:type="dxa"/>
              <w:left w:w="100" w:type="dxa"/>
              <w:bottom w:w="0" w:type="dxa"/>
              <w:right w:w="100" w:type="dxa"/>
            </w:tcMar>
          </w:tcPr>
          <w:p w14:paraId="47218497" w14:textId="77777777" w:rsidR="00A05AD3" w:rsidRDefault="00A05AD3">
            <w:pPr>
              <w:spacing w:before="240" w:after="240" w:line="240" w:lineRule="auto"/>
              <w:jc w:val="center"/>
              <w:rPr>
                <w:rFonts w:ascii="Times New Roman" w:eastAsia="Times New Roman" w:hAnsi="Times New Roman" w:cs="Times New Roman"/>
                <w:sz w:val="26"/>
                <w:szCs w:val="26"/>
              </w:rPr>
            </w:pPr>
          </w:p>
        </w:tc>
        <w:tc>
          <w:tcPr>
            <w:tcW w:w="2040" w:type="dxa"/>
            <w:tcBorders>
              <w:top w:val="nil"/>
              <w:left w:val="nil"/>
              <w:bottom w:val="single" w:sz="5" w:space="0" w:color="000000"/>
              <w:right w:val="single" w:sz="5" w:space="0" w:color="000000"/>
            </w:tcBorders>
            <w:tcMar>
              <w:top w:w="0" w:type="dxa"/>
              <w:left w:w="100" w:type="dxa"/>
              <w:bottom w:w="0" w:type="dxa"/>
              <w:right w:w="100" w:type="dxa"/>
            </w:tcMar>
          </w:tcPr>
          <w:p w14:paraId="6BE87B5B" w14:textId="77777777" w:rsidR="00A05AD3" w:rsidRDefault="00A05AD3">
            <w:pPr>
              <w:spacing w:before="240" w:after="240" w:line="240" w:lineRule="auto"/>
              <w:jc w:val="center"/>
              <w:rPr>
                <w:rFonts w:ascii="Times New Roman" w:eastAsia="Times New Roman" w:hAnsi="Times New Roman" w:cs="Times New Roman"/>
                <w:sz w:val="26"/>
                <w:szCs w:val="26"/>
              </w:rPr>
            </w:pPr>
          </w:p>
        </w:tc>
      </w:tr>
      <w:tr w:rsidR="00A05AD3" w14:paraId="6B54E344" w14:textId="77777777">
        <w:trPr>
          <w:trHeight w:val="585"/>
        </w:trPr>
        <w:tc>
          <w:tcPr>
            <w:tcW w:w="6974" w:type="dxa"/>
            <w:gridSpan w:val="4"/>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656C83C" w14:textId="77777777" w:rsidR="00A05AD3" w:rsidRDefault="00000000">
            <w:pPr>
              <w:spacing w:before="240" w:after="24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VALOR TOTAL</w:t>
            </w:r>
          </w:p>
        </w:tc>
        <w:tc>
          <w:tcPr>
            <w:tcW w:w="20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A4C4737" w14:textId="77777777" w:rsidR="00A05AD3" w:rsidRDefault="00000000">
            <w:pPr>
              <w:spacing w:before="240" w:after="24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R$</w:t>
            </w:r>
          </w:p>
        </w:tc>
      </w:tr>
    </w:tbl>
    <w:p w14:paraId="329FA330" w14:textId="77777777" w:rsidR="00A05AD3" w:rsidRDefault="00A05AD3">
      <w:pPr>
        <w:spacing w:line="240" w:lineRule="auto"/>
        <w:jc w:val="both"/>
        <w:rPr>
          <w:rFonts w:ascii="Times New Roman" w:eastAsia="Times New Roman" w:hAnsi="Times New Roman" w:cs="Times New Roman"/>
          <w:sz w:val="26"/>
          <w:szCs w:val="26"/>
        </w:rPr>
      </w:pPr>
    </w:p>
    <w:p w14:paraId="3144291A" w14:textId="77777777" w:rsidR="00A05AD3" w:rsidRDefault="00A05AD3">
      <w:pPr>
        <w:widowControl w:val="0"/>
        <w:spacing w:after="0" w:line="240" w:lineRule="auto"/>
        <w:ind w:left="49"/>
        <w:jc w:val="both"/>
        <w:rPr>
          <w:rFonts w:ascii="Times New Roman" w:eastAsia="Times New Roman" w:hAnsi="Times New Roman" w:cs="Times New Roman"/>
          <w:sz w:val="26"/>
          <w:szCs w:val="26"/>
        </w:rPr>
      </w:pPr>
    </w:p>
    <w:p w14:paraId="1EE99AEC" w14:textId="77777777" w:rsidR="00A05AD3" w:rsidRDefault="00000000">
      <w:pPr>
        <w:widowControl w:val="0"/>
        <w:spacing w:after="0" w:line="240" w:lineRule="auto"/>
        <w:ind w:left="4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Valor Total por extenso:  ______________________________________</w:t>
      </w:r>
      <w:r>
        <w:rPr>
          <w:rFonts w:ascii="Times New Roman" w:eastAsia="Times New Roman" w:hAnsi="Times New Roman" w:cs="Times New Roman"/>
          <w:sz w:val="26"/>
          <w:szCs w:val="26"/>
        </w:rPr>
        <w:br/>
      </w:r>
    </w:p>
    <w:p w14:paraId="02E9065C" w14:textId="77777777" w:rsidR="00A05AD3" w:rsidRDefault="00A05AD3">
      <w:pPr>
        <w:widowControl w:val="0"/>
        <w:spacing w:after="0" w:line="240" w:lineRule="auto"/>
        <w:jc w:val="both"/>
        <w:rPr>
          <w:rFonts w:ascii="Times New Roman" w:eastAsia="Times New Roman" w:hAnsi="Times New Roman" w:cs="Times New Roman"/>
          <w:sz w:val="26"/>
          <w:szCs w:val="26"/>
        </w:rPr>
      </w:pPr>
    </w:p>
    <w:p w14:paraId="40A5BADC" w14:textId="77777777" w:rsidR="00A05AD3" w:rsidRDefault="00000000">
      <w:pPr>
        <w:widowControl w:val="0"/>
        <w:spacing w:after="0" w:line="240" w:lineRule="auto"/>
        <w:ind w:left="4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 Dados do responsável pela assinatura do CONTRATO:</w:t>
      </w:r>
    </w:p>
    <w:p w14:paraId="30FE4FAF" w14:textId="77777777" w:rsidR="00A05AD3" w:rsidRDefault="00000000">
      <w:pPr>
        <w:widowControl w:val="0"/>
        <w:spacing w:after="0" w:line="240" w:lineRule="auto"/>
        <w:ind w:left="4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a. Nome: </w:t>
      </w:r>
    </w:p>
    <w:p w14:paraId="2743BB2D" w14:textId="77777777" w:rsidR="00A05AD3" w:rsidRDefault="00000000">
      <w:pPr>
        <w:widowControl w:val="0"/>
        <w:spacing w:after="0" w:line="240" w:lineRule="auto"/>
        <w:ind w:left="4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b. Nacionalidade: </w:t>
      </w:r>
    </w:p>
    <w:p w14:paraId="6C707593" w14:textId="77777777" w:rsidR="00A05AD3" w:rsidRDefault="00000000">
      <w:pPr>
        <w:widowControl w:val="0"/>
        <w:spacing w:after="0" w:line="240" w:lineRule="auto"/>
        <w:ind w:left="4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 Endereço: </w:t>
      </w:r>
    </w:p>
    <w:p w14:paraId="315B8C81" w14:textId="77777777" w:rsidR="00A05AD3" w:rsidRDefault="00000000">
      <w:pPr>
        <w:widowControl w:val="0"/>
        <w:spacing w:after="0" w:line="240" w:lineRule="auto"/>
        <w:ind w:left="4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d. Cidade: </w:t>
      </w:r>
    </w:p>
    <w:p w14:paraId="2029ED55" w14:textId="77777777" w:rsidR="00A05AD3" w:rsidRDefault="00000000">
      <w:pPr>
        <w:widowControl w:val="0"/>
        <w:spacing w:after="0" w:line="240" w:lineRule="auto"/>
        <w:ind w:left="4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e. CEP: </w:t>
      </w:r>
    </w:p>
    <w:p w14:paraId="03829FC3" w14:textId="77777777" w:rsidR="00A05AD3" w:rsidRDefault="00000000">
      <w:pPr>
        <w:widowControl w:val="0"/>
        <w:spacing w:after="0" w:line="240" w:lineRule="auto"/>
        <w:ind w:left="4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f. Número do RG: </w:t>
      </w:r>
    </w:p>
    <w:p w14:paraId="4537B310" w14:textId="77777777" w:rsidR="00A05AD3" w:rsidRDefault="00000000">
      <w:pPr>
        <w:widowControl w:val="0"/>
        <w:spacing w:after="0" w:line="240" w:lineRule="auto"/>
        <w:ind w:left="4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g. Número do CPF </w:t>
      </w:r>
    </w:p>
    <w:p w14:paraId="04DD41A3" w14:textId="77777777" w:rsidR="00A05AD3" w:rsidRDefault="00000000">
      <w:pPr>
        <w:widowControl w:val="0"/>
        <w:spacing w:after="0" w:line="240" w:lineRule="auto"/>
        <w:ind w:left="4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h. E-mail pessoal: </w:t>
      </w:r>
    </w:p>
    <w:p w14:paraId="372BAF01" w14:textId="77777777" w:rsidR="00A05AD3" w:rsidRDefault="00A05AD3">
      <w:pPr>
        <w:widowControl w:val="0"/>
        <w:spacing w:after="0" w:line="240" w:lineRule="auto"/>
        <w:ind w:left="49"/>
        <w:jc w:val="both"/>
        <w:rPr>
          <w:rFonts w:ascii="Times New Roman" w:eastAsia="Times New Roman" w:hAnsi="Times New Roman" w:cs="Times New Roman"/>
          <w:sz w:val="26"/>
          <w:szCs w:val="26"/>
        </w:rPr>
      </w:pPr>
    </w:p>
    <w:p w14:paraId="21E59A53" w14:textId="77777777" w:rsidR="00A05AD3" w:rsidRDefault="00000000">
      <w:pPr>
        <w:widowControl w:val="0"/>
        <w:spacing w:after="0" w:line="240" w:lineRule="auto"/>
        <w:ind w:left="4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 Dados relativos à conta corrente (informar dígitos, se houver):</w:t>
      </w:r>
    </w:p>
    <w:p w14:paraId="005E1748" w14:textId="77777777" w:rsidR="00A05AD3" w:rsidRDefault="00000000">
      <w:pPr>
        <w:widowControl w:val="0"/>
        <w:spacing w:after="0" w:line="240" w:lineRule="auto"/>
        <w:ind w:left="4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i. Banco:</w:t>
      </w:r>
    </w:p>
    <w:p w14:paraId="34AFD051" w14:textId="77777777" w:rsidR="00A05AD3" w:rsidRDefault="00000000">
      <w:pPr>
        <w:widowControl w:val="0"/>
        <w:spacing w:after="0" w:line="240" w:lineRule="auto"/>
        <w:ind w:left="4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j. Agência: </w:t>
      </w:r>
    </w:p>
    <w:p w14:paraId="57D77EE1" w14:textId="77777777" w:rsidR="00A05AD3" w:rsidRDefault="00000000">
      <w:pPr>
        <w:widowControl w:val="0"/>
        <w:spacing w:after="0" w:line="240" w:lineRule="auto"/>
        <w:ind w:left="4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k. Número da conta: </w:t>
      </w:r>
      <w:r>
        <w:rPr>
          <w:rFonts w:ascii="Times New Roman" w:eastAsia="Times New Roman" w:hAnsi="Times New Roman" w:cs="Times New Roman"/>
          <w:sz w:val="26"/>
          <w:szCs w:val="26"/>
        </w:rPr>
        <w:br/>
        <w:t>l. Chave Pix</w:t>
      </w:r>
    </w:p>
    <w:p w14:paraId="012B6299" w14:textId="77777777" w:rsidR="00A05AD3" w:rsidRDefault="00000000">
      <w:pPr>
        <w:widowControl w:val="0"/>
        <w:spacing w:after="0" w:line="240" w:lineRule="auto"/>
        <w:ind w:left="4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m. E-mail da empresa</w:t>
      </w:r>
    </w:p>
    <w:p w14:paraId="7872276C" w14:textId="77777777" w:rsidR="00A05AD3" w:rsidRDefault="00A05AD3">
      <w:pPr>
        <w:widowControl w:val="0"/>
        <w:spacing w:after="0" w:line="240" w:lineRule="auto"/>
        <w:ind w:left="49"/>
        <w:jc w:val="both"/>
        <w:rPr>
          <w:rFonts w:ascii="Times New Roman" w:eastAsia="Times New Roman" w:hAnsi="Times New Roman" w:cs="Times New Roman"/>
          <w:sz w:val="26"/>
          <w:szCs w:val="26"/>
        </w:rPr>
      </w:pPr>
    </w:p>
    <w:p w14:paraId="4E5F6201" w14:textId="77777777" w:rsidR="00A05AD3" w:rsidRDefault="00A05AD3">
      <w:pPr>
        <w:widowControl w:val="0"/>
        <w:spacing w:after="0" w:line="240" w:lineRule="auto"/>
        <w:ind w:left="49"/>
        <w:jc w:val="both"/>
        <w:rPr>
          <w:rFonts w:ascii="Times New Roman" w:eastAsia="Times New Roman" w:hAnsi="Times New Roman" w:cs="Times New Roman"/>
          <w:sz w:val="26"/>
          <w:szCs w:val="26"/>
        </w:rPr>
      </w:pPr>
    </w:p>
    <w:p w14:paraId="3C3FAAD6" w14:textId="77777777" w:rsidR="00A05AD3" w:rsidRDefault="00000000">
      <w:pPr>
        <w:widowControl w:val="0"/>
        <w:spacing w:after="0" w:line="240" w:lineRule="auto"/>
        <w:ind w:left="49" w:firstLine="671"/>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___________________, ____ de _________________ </w:t>
      </w:r>
      <w:proofErr w:type="spellStart"/>
      <w:r>
        <w:rPr>
          <w:rFonts w:ascii="Times New Roman" w:eastAsia="Times New Roman" w:hAnsi="Times New Roman" w:cs="Times New Roman"/>
          <w:sz w:val="26"/>
          <w:szCs w:val="26"/>
        </w:rPr>
        <w:t>de</w:t>
      </w:r>
      <w:proofErr w:type="spellEnd"/>
      <w:r>
        <w:rPr>
          <w:rFonts w:ascii="Times New Roman" w:eastAsia="Times New Roman" w:hAnsi="Times New Roman" w:cs="Times New Roman"/>
          <w:sz w:val="26"/>
          <w:szCs w:val="26"/>
        </w:rPr>
        <w:t xml:space="preserve"> 2024. </w:t>
      </w:r>
    </w:p>
    <w:p w14:paraId="7189B1D9" w14:textId="77777777" w:rsidR="00A05AD3" w:rsidRDefault="00A05AD3">
      <w:pPr>
        <w:widowControl w:val="0"/>
        <w:spacing w:after="0" w:line="240" w:lineRule="auto"/>
        <w:ind w:left="49"/>
        <w:jc w:val="center"/>
        <w:rPr>
          <w:rFonts w:ascii="Times New Roman" w:eastAsia="Times New Roman" w:hAnsi="Times New Roman" w:cs="Times New Roman"/>
          <w:sz w:val="26"/>
          <w:szCs w:val="26"/>
        </w:rPr>
      </w:pPr>
    </w:p>
    <w:p w14:paraId="4A78D76E" w14:textId="77777777" w:rsidR="00A05AD3" w:rsidRDefault="00000000">
      <w:pPr>
        <w:widowControl w:val="0"/>
        <w:spacing w:after="0" w:line="240" w:lineRule="auto"/>
        <w:ind w:left="49"/>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____________________________________</w:t>
      </w:r>
    </w:p>
    <w:p w14:paraId="18ED6BB5" w14:textId="77777777" w:rsidR="00A05AD3" w:rsidRDefault="00000000">
      <w:pPr>
        <w:widowControl w:val="0"/>
        <w:spacing w:after="0" w:line="240" w:lineRule="auto"/>
        <w:ind w:left="49"/>
        <w:jc w:val="center"/>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 Assinatura do Representante Legal</w:t>
      </w:r>
    </w:p>
    <w:p w14:paraId="6749C2F0" w14:textId="77777777" w:rsidR="00A05AD3" w:rsidRDefault="00A05AD3">
      <w:pPr>
        <w:widowControl w:val="0"/>
        <w:spacing w:after="0" w:line="240" w:lineRule="auto"/>
        <w:ind w:left="49"/>
        <w:jc w:val="both"/>
        <w:rPr>
          <w:rFonts w:ascii="Times New Roman" w:eastAsia="Times New Roman" w:hAnsi="Times New Roman" w:cs="Times New Roman"/>
          <w:sz w:val="26"/>
          <w:szCs w:val="26"/>
        </w:rPr>
      </w:pPr>
    </w:p>
    <w:p w14:paraId="13C85645" w14:textId="77777777" w:rsidR="00A05AD3" w:rsidRDefault="00000000">
      <w:pPr>
        <w:widowControl w:val="0"/>
        <w:spacing w:after="0" w:line="240" w:lineRule="auto"/>
        <w:ind w:left="4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Nome: </w:t>
      </w:r>
    </w:p>
    <w:p w14:paraId="07A249D2" w14:textId="77777777" w:rsidR="00A05AD3" w:rsidRDefault="00000000">
      <w:pPr>
        <w:widowControl w:val="0"/>
        <w:spacing w:after="0" w:line="240" w:lineRule="auto"/>
        <w:ind w:left="4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RG: </w:t>
      </w:r>
    </w:p>
    <w:p w14:paraId="77F6ABF7" w14:textId="77777777" w:rsidR="00A05AD3" w:rsidRDefault="00000000">
      <w:pPr>
        <w:widowControl w:val="0"/>
        <w:spacing w:after="0" w:line="240" w:lineRule="auto"/>
        <w:ind w:left="4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CPF:</w:t>
      </w:r>
    </w:p>
    <w:p w14:paraId="4D302927" w14:textId="77777777" w:rsidR="00A05AD3" w:rsidRDefault="00A05AD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ind w:left="40"/>
        <w:jc w:val="center"/>
        <w:rPr>
          <w:rFonts w:ascii="Times New Roman" w:eastAsia="Times New Roman" w:hAnsi="Times New Roman" w:cs="Times New Roman"/>
          <w:b/>
          <w:sz w:val="26"/>
          <w:szCs w:val="26"/>
          <w:u w:val="single"/>
        </w:rPr>
      </w:pPr>
    </w:p>
    <w:p w14:paraId="4BA791E9" w14:textId="77777777" w:rsidR="00A05AD3" w:rsidRDefault="00A05AD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ind w:left="40"/>
        <w:jc w:val="center"/>
        <w:rPr>
          <w:rFonts w:ascii="Times New Roman" w:eastAsia="Times New Roman" w:hAnsi="Times New Roman" w:cs="Times New Roman"/>
          <w:b/>
          <w:sz w:val="26"/>
          <w:szCs w:val="26"/>
          <w:u w:val="single"/>
        </w:rPr>
      </w:pPr>
    </w:p>
    <w:p w14:paraId="3BCDDD6B" w14:textId="77777777" w:rsidR="00F048FE" w:rsidRDefault="00F048FE">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ind w:left="40"/>
        <w:jc w:val="center"/>
        <w:rPr>
          <w:rFonts w:ascii="Times New Roman" w:eastAsia="Times New Roman" w:hAnsi="Times New Roman" w:cs="Times New Roman"/>
          <w:b/>
          <w:sz w:val="26"/>
          <w:szCs w:val="26"/>
          <w:u w:val="single"/>
        </w:rPr>
      </w:pPr>
    </w:p>
    <w:p w14:paraId="76958231" w14:textId="77777777" w:rsidR="00A05AD3" w:rsidRDefault="00A05AD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ind w:left="40"/>
        <w:jc w:val="center"/>
        <w:rPr>
          <w:rFonts w:ascii="Times New Roman" w:eastAsia="Times New Roman" w:hAnsi="Times New Roman" w:cs="Times New Roman"/>
          <w:b/>
          <w:sz w:val="26"/>
          <w:szCs w:val="26"/>
          <w:u w:val="single"/>
        </w:rPr>
      </w:pPr>
    </w:p>
    <w:p w14:paraId="60B076E1" w14:textId="77777777" w:rsidR="00A05AD3" w:rsidRDefault="00A05AD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ind w:left="40"/>
        <w:jc w:val="center"/>
        <w:rPr>
          <w:rFonts w:ascii="Times New Roman" w:eastAsia="Times New Roman" w:hAnsi="Times New Roman" w:cs="Times New Roman"/>
          <w:b/>
          <w:sz w:val="26"/>
          <w:szCs w:val="26"/>
          <w:u w:val="single"/>
        </w:rPr>
      </w:pPr>
    </w:p>
    <w:p w14:paraId="6CCD70EC"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ind w:left="40"/>
        <w:jc w:val="center"/>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lastRenderedPageBreak/>
        <w:t>ANEXO III - DECLARAÇÕES DIVERSAS</w:t>
      </w:r>
      <w:r>
        <w:rPr>
          <w:rFonts w:ascii="Times New Roman" w:eastAsia="Times New Roman" w:hAnsi="Times New Roman" w:cs="Times New Roman"/>
          <w:b/>
          <w:sz w:val="26"/>
          <w:szCs w:val="26"/>
          <w:u w:val="single"/>
        </w:rPr>
        <w:br/>
      </w:r>
      <w:r>
        <w:rPr>
          <w:rFonts w:ascii="Times New Roman" w:eastAsia="Times New Roman" w:hAnsi="Times New Roman" w:cs="Times New Roman"/>
          <w:b/>
          <w:sz w:val="26"/>
          <w:szCs w:val="26"/>
          <w:u w:val="single"/>
        </w:rPr>
        <w:br/>
        <w:t>DECLARAÇÃO DE QUE CUMPRE OS REQUISITOS DE HABILITAÇÃO</w:t>
      </w:r>
    </w:p>
    <w:p w14:paraId="2072101D"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ind w:left="40"/>
        <w:jc w:val="center"/>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rPr>
        <w:t>Processo administrativo nº 37/2023</w:t>
      </w:r>
      <w:r>
        <w:rPr>
          <w:rFonts w:ascii="Times New Roman" w:eastAsia="Times New Roman" w:hAnsi="Times New Roman" w:cs="Times New Roman"/>
          <w:b/>
          <w:sz w:val="26"/>
          <w:szCs w:val="26"/>
        </w:rPr>
        <w:br/>
        <w:t>Pregão Eletrônico nº 03/2024</w:t>
      </w:r>
      <w:r>
        <w:rPr>
          <w:rFonts w:ascii="Times New Roman" w:eastAsia="Times New Roman" w:hAnsi="Times New Roman" w:cs="Times New Roman"/>
          <w:b/>
          <w:sz w:val="26"/>
          <w:szCs w:val="26"/>
          <w:u w:val="single"/>
        </w:rPr>
        <w:t xml:space="preserve"> </w:t>
      </w:r>
    </w:p>
    <w:p w14:paraId="52E0DE1C"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ind w:left="40"/>
        <w:jc w:val="both"/>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t>À Câmara Municipal de Mococa</w:t>
      </w:r>
    </w:p>
    <w:p w14:paraId="17B5AD25"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ind w:left="40"/>
        <w:jc w:val="both"/>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t xml:space="preserve">  </w:t>
      </w:r>
    </w:p>
    <w:p w14:paraId="2FC0172B"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ind w:left="40"/>
        <w:jc w:val="both"/>
        <w:rPr>
          <w:rFonts w:ascii="Times New Roman" w:eastAsia="Times New Roman" w:hAnsi="Times New Roman" w:cs="Times New Roman"/>
          <w:b/>
          <w:sz w:val="26"/>
          <w:szCs w:val="26"/>
          <w:u w:val="single"/>
        </w:rPr>
      </w:pPr>
      <w:proofErr w:type="spellStart"/>
      <w:r>
        <w:rPr>
          <w:rFonts w:ascii="Times New Roman" w:eastAsia="Times New Roman" w:hAnsi="Times New Roman" w:cs="Times New Roman"/>
          <w:b/>
          <w:sz w:val="26"/>
          <w:szCs w:val="26"/>
          <w:u w:val="single"/>
        </w:rPr>
        <w:t>Sr</w:t>
      </w:r>
      <w:proofErr w:type="spellEnd"/>
      <w:r>
        <w:rPr>
          <w:rFonts w:ascii="Times New Roman" w:eastAsia="Times New Roman" w:hAnsi="Times New Roman" w:cs="Times New Roman"/>
          <w:b/>
          <w:sz w:val="26"/>
          <w:szCs w:val="26"/>
          <w:u w:val="single"/>
        </w:rPr>
        <w:t>(a). Pregoeiro(a),</w:t>
      </w:r>
    </w:p>
    <w:p w14:paraId="7745A555"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ind w:left="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Pela presente, declaro(amos) que, nos termos do art. 63, inciso I, da Lei federal nº 14.133/2021, a empresa (indicação da razão social) cumpre plenamente os requisitos de habilitação para o PREGÃO ELETRÔNICO Nº 03/2024, e que concorda com as condições contidas no Edital e seus anexos, cujo objeto consiste na contratação de empresa especializada e devidamente autorizada para prestação de serviços de vigilância e segurança patrimonial armada, com a efetiva cobertura dos postos, vigência de 12 (doze) meses, a contar da data de assinatura do contrato, nas dependências da Câmara Municipal de Mococa, no prédio situado na Praça Marechal Deodoro, nº 26, Centro, Mococa, Estado de São Paulo, conforme especificações constantes neste Termo de Referência.</w:t>
      </w:r>
    </w:p>
    <w:p w14:paraId="45E4B07B"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ind w:left="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 xml:space="preserve">___________________, ____ de _________________ </w:t>
      </w:r>
      <w:proofErr w:type="spellStart"/>
      <w:r>
        <w:rPr>
          <w:rFonts w:ascii="Times New Roman" w:eastAsia="Times New Roman" w:hAnsi="Times New Roman" w:cs="Times New Roman"/>
          <w:sz w:val="26"/>
          <w:szCs w:val="26"/>
        </w:rPr>
        <w:t>de</w:t>
      </w:r>
      <w:proofErr w:type="spellEnd"/>
      <w:r>
        <w:rPr>
          <w:rFonts w:ascii="Times New Roman" w:eastAsia="Times New Roman" w:hAnsi="Times New Roman" w:cs="Times New Roman"/>
          <w:sz w:val="26"/>
          <w:szCs w:val="26"/>
        </w:rPr>
        <w:t xml:space="preserve"> 2024.</w:t>
      </w:r>
    </w:p>
    <w:p w14:paraId="7153293C"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ind w:left="4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____________________________________</w:t>
      </w:r>
    </w:p>
    <w:p w14:paraId="1E61D8BD"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ind w:left="4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Assinatura do Representante Legal</w:t>
      </w:r>
    </w:p>
    <w:p w14:paraId="2AC47A8A"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ind w:left="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Nome:</w:t>
      </w:r>
    </w:p>
    <w:p w14:paraId="4E9DDC98"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ind w:left="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RG:</w:t>
      </w:r>
    </w:p>
    <w:p w14:paraId="1924929B"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ind w:left="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CPF:</w:t>
      </w:r>
    </w:p>
    <w:p w14:paraId="2B19008D" w14:textId="77777777" w:rsidR="00A05AD3" w:rsidRDefault="00A05AD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ind w:left="40"/>
        <w:jc w:val="both"/>
        <w:rPr>
          <w:rFonts w:ascii="Times New Roman" w:eastAsia="Times New Roman" w:hAnsi="Times New Roman" w:cs="Times New Roman"/>
          <w:sz w:val="26"/>
          <w:szCs w:val="26"/>
        </w:rPr>
      </w:pPr>
    </w:p>
    <w:p w14:paraId="7936FC8F" w14:textId="77777777" w:rsidR="00A05AD3" w:rsidRDefault="00A05AD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ind w:left="40"/>
        <w:jc w:val="both"/>
        <w:rPr>
          <w:rFonts w:ascii="Times New Roman" w:eastAsia="Times New Roman" w:hAnsi="Times New Roman" w:cs="Times New Roman"/>
          <w:sz w:val="26"/>
          <w:szCs w:val="26"/>
        </w:rPr>
      </w:pPr>
    </w:p>
    <w:p w14:paraId="4D83E3E6" w14:textId="77777777" w:rsidR="00A05AD3" w:rsidRDefault="00A05AD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ind w:left="40"/>
        <w:jc w:val="both"/>
        <w:rPr>
          <w:rFonts w:ascii="Times New Roman" w:eastAsia="Times New Roman" w:hAnsi="Times New Roman" w:cs="Times New Roman"/>
          <w:sz w:val="26"/>
          <w:szCs w:val="26"/>
        </w:rPr>
      </w:pPr>
    </w:p>
    <w:p w14:paraId="57CAC266"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ind w:left="4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MODELO DE DECLARAÇÃO</w:t>
      </w:r>
    </w:p>
    <w:p w14:paraId="1890A6B6"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ind w:left="4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ENQUADRAMENTO DE MICROEMPRESAS E EMPRESAS DE PEQUENO PORTE</w:t>
      </w:r>
    </w:p>
    <w:p w14:paraId="00585DED"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Processo administrativo nº 37/2023</w:t>
      </w:r>
      <w:r>
        <w:rPr>
          <w:rFonts w:ascii="Times New Roman" w:eastAsia="Times New Roman" w:hAnsi="Times New Roman" w:cs="Times New Roman"/>
          <w:b/>
          <w:sz w:val="26"/>
          <w:szCs w:val="26"/>
        </w:rPr>
        <w:br/>
        <w:t>Pregão Eletrônico nº 03/2024</w:t>
      </w:r>
    </w:p>
    <w:p w14:paraId="5917FD5A" w14:textId="77777777" w:rsidR="00A05AD3" w:rsidRDefault="00A05AD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jc w:val="center"/>
        <w:rPr>
          <w:rFonts w:ascii="Times New Roman" w:eastAsia="Times New Roman" w:hAnsi="Times New Roman" w:cs="Times New Roman"/>
          <w:b/>
          <w:sz w:val="26"/>
          <w:szCs w:val="26"/>
          <w:u w:val="single"/>
        </w:rPr>
      </w:pPr>
    </w:p>
    <w:p w14:paraId="085F3EA4"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(em papel timbrado da empresa)</w:t>
      </w:r>
    </w:p>
    <w:p w14:paraId="48F2CC61" w14:textId="77777777" w:rsidR="00A05AD3" w:rsidRDefault="00A05AD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jc w:val="center"/>
        <w:rPr>
          <w:rFonts w:ascii="Times New Roman" w:eastAsia="Times New Roman" w:hAnsi="Times New Roman" w:cs="Times New Roman"/>
          <w:b/>
          <w:sz w:val="26"/>
          <w:szCs w:val="26"/>
          <w:u w:val="single"/>
        </w:rPr>
      </w:pPr>
    </w:p>
    <w:p w14:paraId="259784EC"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jc w:val="center"/>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rPr>
        <w:t>Local e data.</w:t>
      </w:r>
      <w:r>
        <w:rPr>
          <w:rFonts w:ascii="Times New Roman" w:eastAsia="Times New Roman" w:hAnsi="Times New Roman" w:cs="Times New Roman"/>
          <w:b/>
          <w:sz w:val="26"/>
          <w:szCs w:val="26"/>
          <w:u w:val="single"/>
        </w:rPr>
        <w:t xml:space="preserve"> </w:t>
      </w:r>
    </w:p>
    <w:p w14:paraId="40D329DA"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jc w:val="center"/>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t xml:space="preserve"> </w:t>
      </w:r>
    </w:p>
    <w:p w14:paraId="7FF95B0C"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À CÂMARA MUNICIPAL DE MOCOCA</w:t>
      </w:r>
    </w:p>
    <w:p w14:paraId="1C26C6CF"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___(EMPRESA)____, inscrita no CNPJ sob o nº ____________, e inscrição estadual ______________, com sede à ______________________, neste ato representada por ___(NOME)____, __(profissão)___, portador do RG ________, do CPF nº _____________, vem em atenção ao disposto no Pregão Eletrônico nº 001/2023, declarar, sob as penalidades cabíveis, sua condição de Microempresa / Empresa de pequeno porte, nos termos da Lei Complementar nº 123/2006.</w:t>
      </w:r>
    </w:p>
    <w:p w14:paraId="16A5B8F6" w14:textId="77777777" w:rsidR="00A05AD3" w:rsidRDefault="00A05AD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jc w:val="center"/>
        <w:rPr>
          <w:rFonts w:ascii="Times New Roman" w:eastAsia="Times New Roman" w:hAnsi="Times New Roman" w:cs="Times New Roman"/>
          <w:b/>
          <w:sz w:val="26"/>
          <w:szCs w:val="26"/>
        </w:rPr>
      </w:pPr>
    </w:p>
    <w:p w14:paraId="6EB56CF6"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Atenciosamente,</w:t>
      </w:r>
    </w:p>
    <w:p w14:paraId="41221107"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52F41687"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_________________________</w:t>
      </w:r>
      <w:r>
        <w:rPr>
          <w:rFonts w:ascii="Times New Roman" w:eastAsia="Times New Roman" w:hAnsi="Times New Roman" w:cs="Times New Roman"/>
          <w:sz w:val="26"/>
          <w:szCs w:val="26"/>
        </w:rPr>
        <w:br/>
        <w:t xml:space="preserve">  Assinatura do responsável</w:t>
      </w:r>
      <w:r>
        <w:rPr>
          <w:rFonts w:ascii="Times New Roman" w:eastAsia="Times New Roman" w:hAnsi="Times New Roman" w:cs="Times New Roman"/>
          <w:sz w:val="26"/>
          <w:szCs w:val="26"/>
        </w:rPr>
        <w:br/>
        <w:t xml:space="preserve"> Nome</w:t>
      </w:r>
      <w:r>
        <w:rPr>
          <w:rFonts w:ascii="Times New Roman" w:eastAsia="Times New Roman" w:hAnsi="Times New Roman" w:cs="Times New Roman"/>
          <w:sz w:val="26"/>
          <w:szCs w:val="26"/>
        </w:rPr>
        <w:br/>
        <w:t xml:space="preserve"> Cargo</w:t>
      </w:r>
      <w:r>
        <w:rPr>
          <w:rFonts w:ascii="Times New Roman" w:eastAsia="Times New Roman" w:hAnsi="Times New Roman" w:cs="Times New Roman"/>
          <w:sz w:val="26"/>
          <w:szCs w:val="26"/>
        </w:rPr>
        <w:br/>
        <w:t xml:space="preserve"> CPF/MF</w:t>
      </w:r>
    </w:p>
    <w:p w14:paraId="791122D7" w14:textId="77777777" w:rsidR="00A05AD3" w:rsidRDefault="00A05AD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jc w:val="center"/>
        <w:rPr>
          <w:rFonts w:ascii="Times New Roman" w:eastAsia="Times New Roman" w:hAnsi="Times New Roman" w:cs="Times New Roman"/>
          <w:b/>
          <w:sz w:val="26"/>
          <w:szCs w:val="26"/>
        </w:rPr>
      </w:pPr>
    </w:p>
    <w:p w14:paraId="13A443C8" w14:textId="77777777" w:rsidR="00F048FE" w:rsidRDefault="00F048FE">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jc w:val="center"/>
        <w:rPr>
          <w:rFonts w:ascii="Times New Roman" w:eastAsia="Times New Roman" w:hAnsi="Times New Roman" w:cs="Times New Roman"/>
          <w:b/>
          <w:sz w:val="26"/>
          <w:szCs w:val="26"/>
        </w:rPr>
      </w:pPr>
    </w:p>
    <w:p w14:paraId="21727E3B"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MODELO DE DECLARAÇÃO UNIFICADA</w:t>
      </w:r>
    </w:p>
    <w:p w14:paraId="4061551B"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(PAPEL TIMBRADO DA LICITANTE)</w:t>
      </w:r>
    </w:p>
    <w:p w14:paraId="710AC512"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Processo administrativo nº 37/2023</w:t>
      </w:r>
      <w:r>
        <w:rPr>
          <w:rFonts w:ascii="Times New Roman" w:eastAsia="Times New Roman" w:hAnsi="Times New Roman" w:cs="Times New Roman"/>
          <w:b/>
          <w:sz w:val="26"/>
          <w:szCs w:val="26"/>
        </w:rPr>
        <w:br/>
        <w:t>Pregão Eletrônico nº 03/2024</w:t>
      </w:r>
    </w:p>
    <w:p w14:paraId="453742B1"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jc w:val="center"/>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t xml:space="preserve"> </w:t>
      </w:r>
    </w:p>
    <w:p w14:paraId="74066394"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p>
    <w:p w14:paraId="34271875"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À pregoeira e equipe de apoio</w:t>
      </w:r>
    </w:p>
    <w:p w14:paraId="5AE2055D"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Câmara Municipal de Mococa, Estado de São Paulo</w:t>
      </w:r>
    </w:p>
    <w:p w14:paraId="2BF497DA"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empresa (nome da empresa), sediada na (endereço completo, cidade, Estado), inscrita no CNPJ sob nº __________, por seu representante legal, para fins do disposto no inciso VI do art. 68 da Lei nº 14.133, de 01 de abril de 2021, DECLARA:</w:t>
      </w:r>
    </w:p>
    <w:p w14:paraId="61726295"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ind w:left="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Que não emprega menor de 18 (dezoito) anos em trabalho noturno, perigoso ou insalubre e não emprega menor de 16 (dezesseis) anos, salvo menor, a partir de 14 (quatorze) anos, na condição de aprendiz, nos termos do inciso XXXIII, do art. 7º da Constituição Federal. Outrossim, declara ainda ser conhecedora de que a violação, a qualquer tempo, do dispositivo legal mencionado, implica na rescisão de futuro contrato administrativo a ser celebrado, sem prejuízo das sanções penais cabíveis;</w:t>
      </w:r>
    </w:p>
    <w:p w14:paraId="7C3CC68A"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A INEXISTÊNCIA de fatos supervenientes à data de expedição do Cadastro apresentado, que impossibilitem sua habilitação no Pregão em epígrafe, pois que continuam satisfeitas as exigências previstas no art. 62 da Lei federal nº 14.133/2021;</w:t>
      </w:r>
    </w:p>
    <w:p w14:paraId="4299A939"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ind w:left="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Que não está sujeita a qualquer impedimento legal para licitar ou contratar com a Administração, ciente da obrigatoriedade de declarar ocorrências posteriores;</w:t>
      </w:r>
    </w:p>
    <w:p w14:paraId="1BFDCABF"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 Sob as penas da lei, que a empresa não foi declarada inidônea para licitar ou contratar com a Administração Pública;</w:t>
      </w:r>
    </w:p>
    <w:p w14:paraId="7257CF76"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5) Para os devidos fins de direito, na qualidade de Proponente dos procedimentos licitatórios, instaurados por este Município, que o (a) responsável legal da empresa é o (a) </w:t>
      </w:r>
      <w:proofErr w:type="spellStart"/>
      <w:r>
        <w:rPr>
          <w:rFonts w:ascii="Times New Roman" w:eastAsia="Times New Roman" w:hAnsi="Times New Roman" w:cs="Times New Roman"/>
          <w:sz w:val="26"/>
          <w:szCs w:val="26"/>
        </w:rPr>
        <w:t>Sr</w:t>
      </w:r>
      <w:proofErr w:type="spellEnd"/>
      <w:r>
        <w:rPr>
          <w:rFonts w:ascii="Times New Roman" w:eastAsia="Times New Roman" w:hAnsi="Times New Roman" w:cs="Times New Roman"/>
          <w:sz w:val="26"/>
          <w:szCs w:val="26"/>
        </w:rPr>
        <w:t xml:space="preserve">(a) ..................................., Portador (a) do RG sob nº ................................................. e CPF nº ........................................................, cuja função/cargo é (sócio administrador/procurador/diretor/etc.), responsável pela assinatura do Contrato. </w:t>
      </w:r>
    </w:p>
    <w:p w14:paraId="2DBEC60C"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6) Para os devidos fins que NENHUM sócio desta empresa exerce cargo ou função pública impeditiva de relacionamento comercial com a Administração Pública. </w:t>
      </w:r>
    </w:p>
    <w:p w14:paraId="0AC08EA8"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 Que a empresa não contratará empregados com incompatibilidade com as autoridades contratantes ou ocupantes de cargos de direção ou de assessoramento até o terceiro grau, na forma da Súmula Vinculante nº 13 do STF (Supremo Tribunal Federal);</w:t>
      </w:r>
    </w:p>
    <w:p w14:paraId="182D83C6"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8) Declaramos que até a presente data inexistem fatos impeditivos para sua habilitação no presente processo e que está ciente da obrigatoriedade de declarar ocorrências posteriores.</w:t>
      </w:r>
    </w:p>
    <w:p w14:paraId="2524F402"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p>
    <w:p w14:paraId="15B1C998"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Local e data.</w:t>
      </w:r>
    </w:p>
    <w:p w14:paraId="608F9007"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p>
    <w:p w14:paraId="7E954524"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_____________________________</w:t>
      </w:r>
    </w:p>
    <w:p w14:paraId="3F8A65CC"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(nome e assinatura do representante legal do licitante)</w:t>
      </w:r>
    </w:p>
    <w:p w14:paraId="3B70165B"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RG:</w:t>
      </w:r>
    </w:p>
    <w:p w14:paraId="56167354"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CPF: </w:t>
      </w:r>
    </w:p>
    <w:p w14:paraId="3653484A" w14:textId="77777777" w:rsidR="00A05AD3" w:rsidRDefault="00A05AD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360" w:lineRule="auto"/>
        <w:jc w:val="center"/>
        <w:rPr>
          <w:rFonts w:ascii="Times New Roman" w:eastAsia="Times New Roman" w:hAnsi="Times New Roman" w:cs="Times New Roman"/>
          <w:b/>
          <w:sz w:val="26"/>
          <w:szCs w:val="26"/>
        </w:rPr>
      </w:pPr>
    </w:p>
    <w:p w14:paraId="34091281"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p>
    <w:p w14:paraId="5B17AD9D" w14:textId="77777777" w:rsidR="00A05AD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p>
    <w:p w14:paraId="366C3634" w14:textId="77777777" w:rsidR="00A05AD3" w:rsidRDefault="00A05AD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ind w:left="40"/>
        <w:jc w:val="center"/>
        <w:rPr>
          <w:rFonts w:ascii="Times New Roman" w:eastAsia="Times New Roman" w:hAnsi="Times New Roman" w:cs="Times New Roman"/>
          <w:sz w:val="26"/>
          <w:szCs w:val="26"/>
        </w:rPr>
      </w:pPr>
    </w:p>
    <w:p w14:paraId="70683E62" w14:textId="77777777" w:rsidR="00A05AD3" w:rsidRDefault="00A05AD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40" w:lineRule="auto"/>
        <w:ind w:left="40"/>
        <w:jc w:val="center"/>
        <w:rPr>
          <w:rFonts w:ascii="Times New Roman" w:eastAsia="Times New Roman" w:hAnsi="Times New Roman" w:cs="Times New Roman"/>
          <w:b/>
          <w:sz w:val="26"/>
          <w:szCs w:val="26"/>
        </w:rPr>
      </w:pPr>
    </w:p>
    <w:sectPr w:rsidR="00A05AD3">
      <w:headerReference w:type="default" r:id="rId22"/>
      <w:footerReference w:type="default" r:id="rId23"/>
      <w:pgSz w:w="11906" w:h="16838"/>
      <w:pgMar w:top="450" w:right="1440" w:bottom="1440"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BD3D66" w14:textId="77777777" w:rsidR="008D3554" w:rsidRDefault="008D3554">
      <w:pPr>
        <w:spacing w:after="0" w:line="240" w:lineRule="auto"/>
      </w:pPr>
      <w:r>
        <w:separator/>
      </w:r>
    </w:p>
  </w:endnote>
  <w:endnote w:type="continuationSeparator" w:id="0">
    <w:p w14:paraId="40C98519" w14:textId="77777777" w:rsidR="008D3554" w:rsidRDefault="008D3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3663BC" w14:textId="77777777" w:rsidR="00A05AD3" w:rsidRDefault="00000000">
    <w:pPr>
      <w:pBdr>
        <w:top w:val="nil"/>
        <w:left w:val="nil"/>
        <w:bottom w:val="nil"/>
        <w:right w:val="nil"/>
        <w:between w:val="nil"/>
      </w:pBdr>
      <w:tabs>
        <w:tab w:val="center" w:pos="4252"/>
        <w:tab w:val="right" w:pos="8504"/>
      </w:tabs>
      <w:spacing w:after="0" w:line="240" w:lineRule="auto"/>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DD3235">
      <w:rPr>
        <w:rFonts w:ascii="Arial" w:eastAsia="Arial" w:hAnsi="Arial" w:cs="Arial"/>
        <w:noProof/>
        <w:color w:val="000000"/>
        <w:sz w:val="20"/>
        <w:szCs w:val="20"/>
      </w:rPr>
      <w:t>1</w:t>
    </w:r>
    <w:r>
      <w:rPr>
        <w:rFonts w:ascii="Arial" w:eastAsia="Arial" w:hAnsi="Arial" w:cs="Arial"/>
        <w:color w:val="000000"/>
        <w:sz w:val="20"/>
        <w:szCs w:val="20"/>
      </w:rPr>
      <w:fldChar w:fldCharType="end"/>
    </w:r>
  </w:p>
  <w:p w14:paraId="3A9CFDA9" w14:textId="77777777" w:rsidR="00A05AD3" w:rsidRDefault="00000000">
    <w:pPr>
      <w:pBdr>
        <w:top w:val="single" w:sz="4" w:space="1" w:color="000000"/>
        <w:left w:val="nil"/>
        <w:bottom w:val="nil"/>
        <w:right w:val="nil"/>
        <w:between w:val="nil"/>
      </w:pBdr>
      <w:tabs>
        <w:tab w:val="center" w:pos="4252"/>
        <w:tab w:val="right" w:pos="8504"/>
      </w:tabs>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Edifício “Dra. Esther de Figueiredo Ferraz”</w:t>
    </w:r>
  </w:p>
  <w:p w14:paraId="33BC187C" w14:textId="77777777" w:rsidR="00A05AD3" w:rsidRDefault="00000000">
    <w:pPr>
      <w:pBdr>
        <w:top w:val="single" w:sz="4" w:space="1" w:color="000000"/>
        <w:left w:val="nil"/>
        <w:bottom w:val="nil"/>
        <w:right w:val="nil"/>
        <w:between w:val="nil"/>
      </w:pBdr>
      <w:tabs>
        <w:tab w:val="center" w:pos="4252"/>
        <w:tab w:val="right" w:pos="8504"/>
      </w:tabs>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Praça Marechal Deodoro, 26 – Centro – CEP: 13.730-047 – Mococa/SP</w:t>
    </w:r>
  </w:p>
  <w:p w14:paraId="7FF0B6B3" w14:textId="2A8AEC78" w:rsidR="00A05AD3" w:rsidRDefault="00000000" w:rsidP="00DD3235">
    <w:pPr>
      <w:pBdr>
        <w:top w:val="nil"/>
        <w:left w:val="nil"/>
        <w:bottom w:val="nil"/>
        <w:right w:val="nil"/>
        <w:between w:val="nil"/>
      </w:pBdr>
      <w:tabs>
        <w:tab w:val="center" w:pos="4252"/>
        <w:tab w:val="right" w:pos="8504"/>
      </w:tabs>
      <w:spacing w:line="240" w:lineRule="auto"/>
      <w:jc w:val="center"/>
      <w:rPr>
        <w:color w:val="000000"/>
      </w:rPr>
    </w:pPr>
    <w:r>
      <w:rPr>
        <w:rFonts w:ascii="Arial" w:eastAsia="Arial" w:hAnsi="Arial" w:cs="Arial"/>
        <w:color w:val="000000"/>
        <w:sz w:val="18"/>
        <w:szCs w:val="18"/>
      </w:rPr>
      <w:t xml:space="preserve">Telefone (19) 3656-0002 – </w:t>
    </w:r>
    <w:hyperlink r:id="rId1">
      <w:r>
        <w:rPr>
          <w:rFonts w:ascii="Arial" w:eastAsia="Arial" w:hAnsi="Arial" w:cs="Arial"/>
          <w:color w:val="0563C1"/>
          <w:sz w:val="18"/>
          <w:szCs w:val="18"/>
          <w:u w:val="single"/>
        </w:rPr>
        <w:t>www.mococa.sp.leg.br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065CA3" w14:textId="77777777" w:rsidR="008D3554" w:rsidRDefault="008D3554">
      <w:pPr>
        <w:spacing w:after="0" w:line="240" w:lineRule="auto"/>
      </w:pPr>
      <w:r>
        <w:separator/>
      </w:r>
    </w:p>
  </w:footnote>
  <w:footnote w:type="continuationSeparator" w:id="0">
    <w:p w14:paraId="76E0CD60" w14:textId="77777777" w:rsidR="008D3554" w:rsidRDefault="008D3554">
      <w:pPr>
        <w:spacing w:after="0" w:line="240" w:lineRule="auto"/>
      </w:pPr>
      <w:r>
        <w:continuationSeparator/>
      </w:r>
    </w:p>
  </w:footnote>
  <w:footnote w:id="1">
    <w:p w14:paraId="2FA9686D" w14:textId="77777777" w:rsidR="00A05AD3" w:rsidRDefault="00000000">
      <w:pPr>
        <w:spacing w:after="0" w:line="240" w:lineRule="auto"/>
        <w:rPr>
          <w:rFonts w:ascii="Times New Roman" w:eastAsia="Times New Roman" w:hAnsi="Times New Roman" w:cs="Times New Roman"/>
          <w:sz w:val="20"/>
          <w:szCs w:val="20"/>
        </w:rPr>
      </w:pPr>
      <w:r>
        <w:rPr>
          <w:vertAlign w:val="superscript"/>
        </w:rPr>
        <w:footnoteRef/>
      </w:r>
      <w:r>
        <w:rPr>
          <w:sz w:val="20"/>
          <w:szCs w:val="20"/>
        </w:rPr>
        <w:t xml:space="preserve"> </w:t>
      </w:r>
      <w:hyperlink r:id="rId1">
        <w:r>
          <w:rPr>
            <w:rFonts w:ascii="Times New Roman" w:eastAsia="Times New Roman" w:hAnsi="Times New Roman" w:cs="Times New Roman"/>
            <w:color w:val="1155CC"/>
            <w:sz w:val="20"/>
            <w:szCs w:val="20"/>
            <w:u w:val="single"/>
          </w:rPr>
          <w:t>https://sapl.mococa.sp.leg.br/media/sapl/public/normajuridica/2023/13990/ato_da_mesa_439.pdf</w:t>
        </w:r>
      </w:hyperlink>
      <w:r>
        <w:rPr>
          <w:rFonts w:ascii="Times New Roman" w:eastAsia="Times New Roman" w:hAnsi="Times New Roman" w:cs="Times New Roman"/>
          <w:sz w:val="20"/>
          <w:szCs w:val="20"/>
        </w:rPr>
        <w:t xml:space="preserve"> </w:t>
      </w:r>
    </w:p>
  </w:footnote>
  <w:footnote w:id="2">
    <w:p w14:paraId="1117FCD6" w14:textId="77777777" w:rsidR="00A05AD3" w:rsidRDefault="00000000">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hyperlink r:id="rId2">
        <w:r>
          <w:rPr>
            <w:rFonts w:ascii="Times New Roman" w:eastAsia="Times New Roman" w:hAnsi="Times New Roman" w:cs="Times New Roman"/>
            <w:color w:val="1155CC"/>
            <w:sz w:val="20"/>
            <w:szCs w:val="20"/>
            <w:u w:val="single"/>
          </w:rPr>
          <w:t>https://sapl.mococa.sp.leg.br/media/sapl/public/normajuridica/2023/13991/ato_da_mesa_440.pdf</w:t>
        </w:r>
      </w:hyperlink>
      <w:r>
        <w:rPr>
          <w:rFonts w:ascii="Times New Roman" w:eastAsia="Times New Roman" w:hAnsi="Times New Roman" w:cs="Times New Roman"/>
          <w:sz w:val="20"/>
          <w:szCs w:val="20"/>
        </w:rPr>
        <w:t xml:space="preserve"> </w:t>
      </w:r>
    </w:p>
  </w:footnote>
  <w:footnote w:id="3">
    <w:p w14:paraId="604B4C0C" w14:textId="77777777" w:rsidR="00A05AD3" w:rsidRDefault="00000000">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hyperlink r:id="rId3">
        <w:r>
          <w:rPr>
            <w:rFonts w:ascii="Times New Roman" w:eastAsia="Times New Roman" w:hAnsi="Times New Roman" w:cs="Times New Roman"/>
            <w:color w:val="1155CC"/>
            <w:sz w:val="20"/>
            <w:szCs w:val="20"/>
            <w:u w:val="single"/>
          </w:rPr>
          <w:t>https://sapl.mococa.sp.leg.br/media/sapl/public/normajuridica/2023/13991/ato_da_mesa_440.pdf</w:t>
        </w:r>
      </w:hyperlink>
      <w:r>
        <w:rPr>
          <w:rFonts w:ascii="Times New Roman" w:eastAsia="Times New Roman" w:hAnsi="Times New Roman" w:cs="Times New Roman"/>
          <w:sz w:val="20"/>
          <w:szCs w:val="20"/>
        </w:rPr>
        <w:t xml:space="preserve"> </w:t>
      </w:r>
    </w:p>
  </w:footnote>
  <w:footnote w:id="4">
    <w:p w14:paraId="43B14BF0" w14:textId="77777777" w:rsidR="00A05AD3" w:rsidRDefault="00000000">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hyperlink r:id="rId4">
        <w:r>
          <w:rPr>
            <w:rFonts w:ascii="Times New Roman" w:eastAsia="Times New Roman" w:hAnsi="Times New Roman" w:cs="Times New Roman"/>
            <w:color w:val="1155CC"/>
            <w:sz w:val="20"/>
            <w:szCs w:val="20"/>
            <w:u w:val="single"/>
          </w:rPr>
          <w:t>https://www.mococa.sp.leg.br/institucional/concursos/concurso-no-01-2023</w:t>
        </w:r>
      </w:hyperlink>
      <w:r>
        <w:rPr>
          <w:rFonts w:ascii="Times New Roman" w:eastAsia="Times New Roman" w:hAnsi="Times New Roman" w:cs="Times New Roman"/>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879BA1" w14:textId="77777777" w:rsidR="00A05AD3" w:rsidRDefault="00000000">
    <w:pPr>
      <w:tabs>
        <w:tab w:val="center" w:pos="4252"/>
        <w:tab w:val="right" w:pos="8504"/>
      </w:tabs>
      <w:spacing w:after="0" w:line="240" w:lineRule="auto"/>
      <w:jc w:val="center"/>
    </w:pPr>
    <w:r>
      <w:rPr>
        <w:noProof/>
      </w:rPr>
      <w:drawing>
        <wp:inline distT="0" distB="0" distL="0" distR="0" wp14:anchorId="379A317D" wp14:editId="31694C85">
          <wp:extent cx="840821" cy="923925"/>
          <wp:effectExtent l="0" t="0" r="0" b="0"/>
          <wp:docPr id="2" name="image1.png" descr="Desenho de personagem de desenho animado&#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0" name="image1.png" descr="Desenho de personagem de desenho animado&#10;&#10;Descrição gerada automaticamente com confiança baixa"/>
                  <pic:cNvPicPr preferRelativeResize="0"/>
                </pic:nvPicPr>
                <pic:blipFill>
                  <a:blip r:embed="rId1"/>
                  <a:srcRect/>
                  <a:stretch>
                    <a:fillRect/>
                  </a:stretch>
                </pic:blipFill>
                <pic:spPr>
                  <a:xfrm>
                    <a:off x="0" y="0"/>
                    <a:ext cx="840821" cy="923925"/>
                  </a:xfrm>
                  <a:prstGeom prst="rect">
                    <a:avLst/>
                  </a:prstGeom>
                  <a:ln/>
                </pic:spPr>
              </pic:pic>
            </a:graphicData>
          </a:graphic>
        </wp:inline>
      </w:drawing>
    </w:r>
    <w:r>
      <w:rPr>
        <w:rFonts w:ascii="Arial" w:eastAsia="Arial" w:hAnsi="Arial" w:cs="Arial"/>
        <w:b/>
        <w:color w:val="000000"/>
      </w:rPr>
      <w:t xml:space="preserve">     </w:t>
    </w:r>
  </w:p>
  <w:p w14:paraId="486A1E2B" w14:textId="77777777" w:rsidR="00A05AD3" w:rsidRDefault="00000000">
    <w:pPr>
      <w:tabs>
        <w:tab w:val="center" w:pos="4252"/>
        <w:tab w:val="right" w:pos="8504"/>
      </w:tabs>
      <w:spacing w:after="0" w:line="240" w:lineRule="auto"/>
      <w:jc w:val="center"/>
    </w:pPr>
    <w:r>
      <w:rPr>
        <w:rFonts w:ascii="Georgia" w:eastAsia="Georgia" w:hAnsi="Georgia" w:cs="Georgia"/>
        <w:color w:val="000000"/>
        <w:sz w:val="40"/>
        <w:szCs w:val="40"/>
      </w:rPr>
      <w:t>Câmara Municipal de Mococa</w:t>
    </w:r>
  </w:p>
  <w:p w14:paraId="2A1437AE" w14:textId="77777777" w:rsidR="00A05AD3" w:rsidRDefault="00000000">
    <w:pPr>
      <w:pBdr>
        <w:top w:val="nil"/>
        <w:left w:val="nil"/>
        <w:bottom w:val="nil"/>
        <w:right w:val="nil"/>
        <w:between w:val="nil"/>
      </w:pBdr>
      <w:tabs>
        <w:tab w:val="center" w:pos="4680"/>
        <w:tab w:val="right" w:pos="9360"/>
      </w:tabs>
      <w:spacing w:after="0" w:line="240" w:lineRule="auto"/>
      <w:jc w:val="center"/>
      <w:rPr>
        <w:rFonts w:ascii="Georgia" w:eastAsia="Georgia" w:hAnsi="Georgia" w:cs="Georgia"/>
        <w:smallCaps/>
        <w:color w:val="000000"/>
      </w:rPr>
    </w:pPr>
    <w:r>
      <w:rPr>
        <w:rFonts w:ascii="Georgia" w:eastAsia="Georgia" w:hAnsi="Georgia" w:cs="Georgia"/>
        <w:smallCaps/>
        <w:color w:val="000000"/>
      </w:rPr>
      <w:t>PODER LEGISLATIVO</w:t>
    </w:r>
  </w:p>
  <w:p w14:paraId="64A8E2CE" w14:textId="77777777" w:rsidR="00A05AD3" w:rsidRDefault="00A05AD3">
    <w:pPr>
      <w:pBdr>
        <w:top w:val="nil"/>
        <w:left w:val="nil"/>
        <w:bottom w:val="nil"/>
        <w:right w:val="nil"/>
        <w:between w:val="nil"/>
      </w:pBdr>
      <w:tabs>
        <w:tab w:val="center" w:pos="4680"/>
        <w:tab w:val="right" w:pos="9360"/>
      </w:tabs>
      <w:spacing w:after="0"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76096"/>
    <w:multiLevelType w:val="multilevel"/>
    <w:tmpl w:val="5046F8D6"/>
    <w:lvl w:ilvl="0">
      <w:start w:val="7"/>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9F7702F"/>
    <w:multiLevelType w:val="multilevel"/>
    <w:tmpl w:val="12AA4EDE"/>
    <w:lvl w:ilvl="0">
      <w:start w:val="3"/>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D22097C"/>
    <w:multiLevelType w:val="multilevel"/>
    <w:tmpl w:val="1EFE371E"/>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25E210A"/>
    <w:multiLevelType w:val="multilevel"/>
    <w:tmpl w:val="5A0280AE"/>
    <w:lvl w:ilvl="0">
      <w:start w:val="11"/>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27DE3C9E"/>
    <w:multiLevelType w:val="multilevel"/>
    <w:tmpl w:val="8810322A"/>
    <w:lvl w:ilvl="0">
      <w:start w:val="8"/>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3C0E28D4"/>
    <w:multiLevelType w:val="multilevel"/>
    <w:tmpl w:val="EE48C24E"/>
    <w:lvl w:ilvl="0">
      <w:start w:val="1"/>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41ED52E0"/>
    <w:multiLevelType w:val="multilevel"/>
    <w:tmpl w:val="55003808"/>
    <w:lvl w:ilvl="0">
      <w:start w:val="6"/>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4C8254FE"/>
    <w:multiLevelType w:val="multilevel"/>
    <w:tmpl w:val="CFC8E9BA"/>
    <w:lvl w:ilvl="0">
      <w:start w:val="2"/>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4EA028F5"/>
    <w:multiLevelType w:val="multilevel"/>
    <w:tmpl w:val="E6866986"/>
    <w:lvl w:ilvl="0">
      <w:start w:val="10"/>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4FF95BBA"/>
    <w:multiLevelType w:val="multilevel"/>
    <w:tmpl w:val="62F6D56C"/>
    <w:lvl w:ilvl="0">
      <w:start w:val="12"/>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54631EBF"/>
    <w:multiLevelType w:val="multilevel"/>
    <w:tmpl w:val="870C6B88"/>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5AA1F6A"/>
    <w:multiLevelType w:val="multilevel"/>
    <w:tmpl w:val="9598973A"/>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F935FF5"/>
    <w:multiLevelType w:val="multilevel"/>
    <w:tmpl w:val="07DE40F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5CD38BE"/>
    <w:multiLevelType w:val="multilevel"/>
    <w:tmpl w:val="FD66D50C"/>
    <w:lvl w:ilvl="0">
      <w:start w:val="4"/>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6C7754DB"/>
    <w:multiLevelType w:val="multilevel"/>
    <w:tmpl w:val="15E65966"/>
    <w:lvl w:ilvl="0">
      <w:start w:val="5"/>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6FBC5F3C"/>
    <w:multiLevelType w:val="multilevel"/>
    <w:tmpl w:val="7284AA38"/>
    <w:lvl w:ilvl="0">
      <w:start w:val="9"/>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70180898"/>
    <w:multiLevelType w:val="multilevel"/>
    <w:tmpl w:val="B940685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E3C273E"/>
    <w:multiLevelType w:val="multilevel"/>
    <w:tmpl w:val="65FCD63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1773668979">
    <w:abstractNumId w:val="13"/>
  </w:num>
  <w:num w:numId="2" w16cid:durableId="1892425898">
    <w:abstractNumId w:val="17"/>
  </w:num>
  <w:num w:numId="3" w16cid:durableId="1115253546">
    <w:abstractNumId w:val="12"/>
  </w:num>
  <w:num w:numId="4" w16cid:durableId="959342822">
    <w:abstractNumId w:val="5"/>
  </w:num>
  <w:num w:numId="5" w16cid:durableId="1594314711">
    <w:abstractNumId w:val="11"/>
  </w:num>
  <w:num w:numId="6" w16cid:durableId="244999431">
    <w:abstractNumId w:val="14"/>
  </w:num>
  <w:num w:numId="7" w16cid:durableId="249433809">
    <w:abstractNumId w:val="4"/>
  </w:num>
  <w:num w:numId="8" w16cid:durableId="1122502436">
    <w:abstractNumId w:val="7"/>
  </w:num>
  <w:num w:numId="9" w16cid:durableId="1182015214">
    <w:abstractNumId w:val="8"/>
  </w:num>
  <w:num w:numId="10" w16cid:durableId="1754617711">
    <w:abstractNumId w:val="3"/>
  </w:num>
  <w:num w:numId="11" w16cid:durableId="2100637791">
    <w:abstractNumId w:val="16"/>
  </w:num>
  <w:num w:numId="12" w16cid:durableId="316350429">
    <w:abstractNumId w:val="6"/>
  </w:num>
  <w:num w:numId="13" w16cid:durableId="814343">
    <w:abstractNumId w:val="0"/>
  </w:num>
  <w:num w:numId="14" w16cid:durableId="224724193">
    <w:abstractNumId w:val="9"/>
  </w:num>
  <w:num w:numId="15" w16cid:durableId="1015184562">
    <w:abstractNumId w:val="2"/>
  </w:num>
  <w:num w:numId="16" w16cid:durableId="1103957157">
    <w:abstractNumId w:val="1"/>
  </w:num>
  <w:num w:numId="17" w16cid:durableId="1321159539">
    <w:abstractNumId w:val="15"/>
  </w:num>
  <w:num w:numId="18" w16cid:durableId="160426256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AD3"/>
    <w:rsid w:val="00481F23"/>
    <w:rsid w:val="008D3554"/>
    <w:rsid w:val="00A05AD3"/>
    <w:rsid w:val="00DD3235"/>
    <w:rsid w:val="00F048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518F5"/>
  <w15:docId w15:val="{F1478DC9-27B1-4B46-BE10-D736C0CA8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paragraph" w:styleId="Cabealho">
    <w:name w:val="header"/>
    <w:basedOn w:val="Normal"/>
    <w:link w:val="CabealhoChar"/>
    <w:uiPriority w:val="99"/>
    <w:unhideWhenUsed/>
    <w:rsid w:val="00DD323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D3235"/>
  </w:style>
  <w:style w:type="paragraph" w:styleId="Rodap">
    <w:name w:val="footer"/>
    <w:basedOn w:val="Normal"/>
    <w:link w:val="RodapChar"/>
    <w:uiPriority w:val="99"/>
    <w:unhideWhenUsed/>
    <w:rsid w:val="00DD3235"/>
    <w:pPr>
      <w:tabs>
        <w:tab w:val="center" w:pos="4252"/>
        <w:tab w:val="right" w:pos="8504"/>
      </w:tabs>
      <w:spacing w:after="0" w:line="240" w:lineRule="auto"/>
    </w:pPr>
  </w:style>
  <w:style w:type="character" w:customStyle="1" w:styleId="RodapChar">
    <w:name w:val="Rodapé Char"/>
    <w:basedOn w:val="Fontepargpadro"/>
    <w:link w:val="Rodap"/>
    <w:uiPriority w:val="99"/>
    <w:rsid w:val="00DD3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bll.org.br/" TargetMode="External"/><Relationship Id="rId13" Type="http://schemas.openxmlformats.org/officeDocument/2006/relationships/hyperlink" Target="http://www.bll.org.br/" TargetMode="External"/><Relationship Id="rId18" Type="http://schemas.openxmlformats.org/officeDocument/2006/relationships/hyperlink" Target="http://www.bll.org.br/" TargetMode="External"/><Relationship Id="rId3" Type="http://schemas.openxmlformats.org/officeDocument/2006/relationships/styles" Target="styles.xml"/><Relationship Id="rId21" Type="http://schemas.openxmlformats.org/officeDocument/2006/relationships/hyperlink" Target="https://www.mococa.sp.leg.br/transparencia/licitacoes-e-contratos/edital-de-licitacao" TargetMode="External"/><Relationship Id="rId7" Type="http://schemas.openxmlformats.org/officeDocument/2006/relationships/endnotes" Target="endnotes.xml"/><Relationship Id="rId12" Type="http://schemas.openxmlformats.org/officeDocument/2006/relationships/hyperlink" Target="http://www.mococa.sp.leg.br/" TargetMode="External"/><Relationship Id="rId17" Type="http://schemas.openxmlformats.org/officeDocument/2006/relationships/hyperlink" Target="http://www.bll.org.b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bll.org.br/cadastro/" TargetMode="External"/><Relationship Id="rId20" Type="http://schemas.openxmlformats.org/officeDocument/2006/relationships/hyperlink" Target="http://www.portaltransparencia.gov.br/sancoes/cne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coca.sp.leg.br/"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bll.org.br" TargetMode="External"/><Relationship Id="rId23" Type="http://schemas.openxmlformats.org/officeDocument/2006/relationships/footer" Target="footer1.xml"/><Relationship Id="rId10" Type="http://schemas.openxmlformats.org/officeDocument/2006/relationships/hyperlink" Target="http://www.bll.org.br" TargetMode="External"/><Relationship Id="rId19" Type="http://schemas.openxmlformats.org/officeDocument/2006/relationships/hyperlink" Target="http://www.portaltransparencia.gov.br/sancoes/ceis)%3B" TargetMode="External"/><Relationship Id="rId4" Type="http://schemas.openxmlformats.org/officeDocument/2006/relationships/settings" Target="settings.xml"/><Relationship Id="rId9" Type="http://schemas.openxmlformats.org/officeDocument/2006/relationships/hyperlink" Target="http://www.bll.org.br/" TargetMode="External"/><Relationship Id="rId14" Type="http://schemas.openxmlformats.org/officeDocument/2006/relationships/hyperlink" Target="http://www.bll.org.br/"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mococa.sp.leg.br"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sapl.mococa.sp.leg.br/media/sapl/public/normajuridica/2023/13991/ato_da_mesa_440.pdf" TargetMode="External"/><Relationship Id="rId2" Type="http://schemas.openxmlformats.org/officeDocument/2006/relationships/hyperlink" Target="https://sapl.mococa.sp.leg.br/media/sapl/public/normajuridica/2023/13991/ato_da_mesa_440.pdf" TargetMode="External"/><Relationship Id="rId1" Type="http://schemas.openxmlformats.org/officeDocument/2006/relationships/hyperlink" Target="https://sapl.mococa.sp.leg.br/media/sapl/public/normajuridica/2023/13990/ato_da_mesa_439.pdf" TargetMode="External"/><Relationship Id="rId4" Type="http://schemas.openxmlformats.org/officeDocument/2006/relationships/hyperlink" Target="https://www.mococa.sp.leg.br/institucional/concursos/concurso-no-01-202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LMAG8BkvhaWhzrPmKkbDRHxFMg==">CgMxLjAaHwoBMBIaChgICVIUChJ0YWJsZS5nNTI4Y2M4ZDJ1dWMaHwoBMRIaChgICVIUChJ0YWJsZS4ycHJlY285cDFybW04AGopChNzdWdnZXN0LjdxcXlwMzgwYzhsEhJGZXJuYW5kYSBDYXZlbGxhbmlyITFqVFVBODhYZXJReFNvUzJYOEdTTFlEWjk5aGdiMmZhNA==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38</Pages>
  <Words>12254</Words>
  <Characters>66175</Characters>
  <Application>Microsoft Office Word</Application>
  <DocSecurity>0</DocSecurity>
  <Lines>551</Lines>
  <Paragraphs>156</Paragraphs>
  <ScaleCrop>false</ScaleCrop>
  <Company/>
  <LinksUpToDate>false</LinksUpToDate>
  <CharactersWithSpaces>78273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Rosa Negrini</cp:lastModifiedBy>
  <cp:revision>3</cp:revision>
  <dcterms:created xsi:type="dcterms:W3CDTF">2024-05-27T19:47:00Z</dcterms:created>
  <dcterms:modified xsi:type="dcterms:W3CDTF">2024-05-27T19:51:00Z</dcterms:modified>
</cp:coreProperties>
</file>